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Veselības ministrijas sniegto skaidrojumu izziņā par Iekšlietu ministrijas 2025. gada 10. oktobra iesniegto priekšlikumu, lūdzam izvērtēt nepieciešamību attiecīgi precizēt projekta sākotnējās ietekmes novērtējuma ziņojuma (anotācijas) 1.3. apakšpunktā ietverto 2.2. apakšpunktu (anotācijā ir norādīts, </w:t>
            </w:r>
            <w:r w:rsidR="00000000" w:rsidRPr="00000000" w:rsidDel="00000000">
              <w:rPr>
                <w:i w:val="1"/>
                <w:rtl w:val="0"/>
              </w:rPr>
              <w:t xml:space="preserve">ka šobrīd procesa virzītājs iesniedz sertifikācijas institūcijā informāciju par procesa virzītāja pieņemto lēmumu kriminālprocesā par attiecīgā drošības līdzekļa piemērošanu, </w:t>
            </w:r>
            <w:r w:rsidR="00000000" w:rsidRPr="00000000" w:rsidDel="00000000">
              <w:rPr>
                <w:rtl w:val="0"/>
              </w:rPr>
              <w:t xml:space="preserve">savukārt no izziņā ietvertā skaidrojuma izriet, ka sertifikācijas institūcija saņem informāciju no Ārstniecības personu un ārstniecības atbalsta personu reģistra</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03.11.2025.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03.11.2025.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