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pašlaik pret likumprojekta tālāko virzību, jo tas rada būtisku ietekmi uz uzņēmējdarbību un nodokļu slogu kopumā, līdz ar to vērtējams kopā ar vidēja termiņa nodokļu politikas pamatnostādņu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DRN netiek attiecināts uz riepām, ar kurām ir aprīkoti M</w:t>
            </w:r>
            <w:r w:rsidR="00000000" w:rsidRPr="00000000" w:rsidDel="00000000">
              <w:rPr>
                <w:vertAlign w:val="subscript"/>
                <w:rtl w:val="0"/>
              </w:rPr>
              <w:t xml:space="preserve">1</w:t>
            </w:r>
            <w:r w:rsidR="00000000" w:rsidRPr="00000000" w:rsidDel="00000000">
              <w:rPr>
                <w:rtl w:val="0"/>
              </w:rPr>
              <w:t xml:space="preserve"> un N</w:t>
            </w:r>
            <w:r w:rsidR="00000000" w:rsidRPr="00000000" w:rsidDel="00000000">
              <w:rPr>
                <w:vertAlign w:val="subscript"/>
                <w:rtl w:val="0"/>
              </w:rPr>
              <w:t xml:space="preserve">1</w:t>
            </w:r>
            <w:r w:rsidR="00000000" w:rsidRPr="00000000" w:rsidDel="00000000">
              <w:rPr>
                <w:rtl w:val="0"/>
              </w:rPr>
              <w:t xml:space="preserve"> kategorijas transportlīdzekļi, kā arī tricikli kvadricikli, aicinām izvērtēt un detalizētāk noteikt DRN likmi par riepām, ar kurām ir aprīkoti M</w:t>
            </w:r>
            <w:r w:rsidR="00000000" w:rsidRPr="00000000" w:rsidDel="00000000">
              <w:rPr>
                <w:vertAlign w:val="subscript"/>
                <w:rtl w:val="0"/>
              </w:rPr>
              <w:t xml:space="preserve">2</w:t>
            </w:r>
            <w:r w:rsidR="00000000" w:rsidRPr="00000000" w:rsidDel="00000000">
              <w:rPr>
                <w:rtl w:val="0"/>
              </w:rPr>
              <w:t xml:space="preserve"> un N</w:t>
            </w:r>
            <w:r w:rsidR="00000000" w:rsidRPr="00000000" w:rsidDel="00000000">
              <w:rPr>
                <w:vertAlign w:val="subscript"/>
                <w:rtl w:val="0"/>
              </w:rPr>
              <w:t xml:space="preserve">2</w:t>
            </w:r>
            <w:r w:rsidR="00000000" w:rsidRPr="00000000" w:rsidDel="00000000">
              <w:rPr>
                <w:rtl w:val="0"/>
              </w:rPr>
              <w:t xml:space="preserve"> un O</w:t>
            </w:r>
            <w:r w:rsidR="00000000" w:rsidRPr="00000000" w:rsidDel="00000000">
              <w:rPr>
                <w:vertAlign w:val="subscript"/>
                <w:rtl w:val="0"/>
              </w:rPr>
              <w:t xml:space="preserve">3</w:t>
            </w:r>
            <w:r w:rsidR="00000000" w:rsidRPr="00000000" w:rsidDel="00000000">
              <w:rPr>
                <w:rtl w:val="0"/>
              </w:rPr>
              <w:t xml:space="preserve"> kategorijas transportlīdzekļi,kā arī atsevišķu DRN likmi par riepām, ar kurām ir aprīkoti M</w:t>
            </w:r>
            <w:r w:rsidR="00000000" w:rsidRPr="00000000" w:rsidDel="00000000">
              <w:rPr>
                <w:vertAlign w:val="subscript"/>
                <w:rtl w:val="0"/>
              </w:rPr>
              <w:t xml:space="preserve">3</w:t>
            </w:r>
            <w:r w:rsidR="00000000" w:rsidRPr="00000000" w:rsidDel="00000000">
              <w:rPr>
                <w:rtl w:val="0"/>
              </w:rPr>
              <w:t xml:space="preserve"> un N</w:t>
            </w:r>
            <w:r w:rsidR="00000000" w:rsidRPr="00000000" w:rsidDel="00000000">
              <w:rPr>
                <w:vertAlign w:val="subscript"/>
                <w:rtl w:val="0"/>
              </w:rPr>
              <w:t xml:space="preserve">3</w:t>
            </w:r>
            <w:r w:rsidR="00000000" w:rsidRPr="00000000" w:rsidDel="00000000">
              <w:rPr>
                <w:rtl w:val="0"/>
              </w:rPr>
              <w:t xml:space="preserve">, kā arī O</w:t>
            </w:r>
            <w:r w:rsidR="00000000" w:rsidRPr="00000000" w:rsidDel="00000000">
              <w:rPr>
                <w:vertAlign w:val="subscript"/>
                <w:rtl w:val="0"/>
              </w:rPr>
              <w:t xml:space="preserve">4 </w:t>
            </w:r>
            <w:r w:rsidR="00000000" w:rsidRPr="00000000" w:rsidDel="00000000">
              <w:rPr>
                <w:rtl w:val="0"/>
              </w:rPr>
              <w:t xml:space="preserve">kategorijas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nepieciešams noteikt 10 euro likmi par riepām, ar kurām aprīkotas tikai O</w:t>
            </w:r>
            <w:r w:rsidR="00000000" w:rsidRPr="00000000" w:rsidDel="00000000">
              <w:rPr>
                <w:vertAlign w:val="subscript"/>
                <w:rtl w:val="0"/>
              </w:rPr>
              <w:t xml:space="preserve">1</w:t>
            </w:r>
            <w:r w:rsidR="00000000" w:rsidRPr="00000000" w:rsidDel="00000000">
              <w:rPr>
                <w:rtl w:val="0"/>
              </w:rPr>
              <w:t xml:space="preserve"> un O</w:t>
            </w:r>
            <w:r w:rsidR="00000000" w:rsidRPr="00000000" w:rsidDel="00000000">
              <w:rPr>
                <w:vertAlign w:val="subscript"/>
                <w:rtl w:val="0"/>
              </w:rPr>
              <w:t xml:space="preserve">2</w:t>
            </w:r>
            <w:r w:rsidR="00000000" w:rsidRPr="00000000" w:rsidDel="00000000">
              <w:rPr>
                <w:rtl w:val="0"/>
              </w:rPr>
              <w:t xml:space="preserve"> kategorija piekabes ( ar pilnu masu līdz 3,5 tonnām), nevis visiem O kategorijas transportlīdzekļiem,jo to riepu izmērs un svars ir ievērojami nekā  O</w:t>
            </w:r>
            <w:r w:rsidR="00000000" w:rsidRPr="00000000" w:rsidDel="00000000">
              <w:rPr>
                <w:vertAlign w:val="subscript"/>
                <w:rtl w:val="0"/>
              </w:rPr>
              <w:t xml:space="preserve">1</w:t>
            </w:r>
            <w:r w:rsidR="00000000" w:rsidRPr="00000000" w:rsidDel="00000000">
              <w:rPr>
                <w:rtl w:val="0"/>
              </w:rPr>
              <w:t xml:space="preserve"> un O</w:t>
            </w:r>
            <w:r w:rsidR="00000000" w:rsidRPr="00000000" w:rsidDel="00000000">
              <w:rPr>
                <w:vertAlign w:val="subscript"/>
                <w:rtl w:val="0"/>
              </w:rPr>
              <w:t xml:space="preserve">2</w:t>
            </w:r>
            <w:r w:rsidR="00000000" w:rsidRPr="00000000" w:rsidDel="00000000">
              <w:rPr>
                <w:rtl w:val="0"/>
              </w:rPr>
              <w:t xml:space="preserve"> kategorijas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Riepām, ar ko ir aprīkoti transportlīdzekļi, piemēro šādas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riepām, ar ko ir aprīkots L kategorijas transportlīdzeklis – 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riepām, ar ko ir aprīkots M</w:t>
            </w:r>
            <w:r w:rsidR="00000000" w:rsidRPr="00000000" w:rsidDel="00000000">
              <w:rPr>
                <w:vertAlign w:val="subscript"/>
                <w:rtl w:val="0"/>
              </w:rPr>
              <w:t xml:space="preserve">2</w:t>
            </w:r>
            <w:r w:rsidR="00000000" w:rsidRPr="00000000" w:rsidDel="00000000">
              <w:rPr>
                <w:rtl w:val="0"/>
              </w:rPr>
              <w:t xml:space="preserve">, N</w:t>
            </w:r>
            <w:r w:rsidR="00000000" w:rsidRPr="00000000" w:rsidDel="00000000">
              <w:rPr>
                <w:vertAlign w:val="subscript"/>
                <w:rtl w:val="0"/>
              </w:rPr>
              <w:t xml:space="preserve">2</w:t>
            </w:r>
            <w:r w:rsidR="00000000" w:rsidRPr="00000000" w:rsidDel="00000000">
              <w:rPr>
                <w:rtl w:val="0"/>
              </w:rPr>
              <w:t xml:space="preserve"> un O</w:t>
            </w:r>
            <w:r w:rsidR="00000000" w:rsidRPr="00000000" w:rsidDel="00000000">
              <w:rPr>
                <w:vertAlign w:val="subscript"/>
                <w:rtl w:val="0"/>
              </w:rPr>
              <w:t xml:space="preserve">3</w:t>
            </w:r>
            <w:r w:rsidR="00000000" w:rsidRPr="00000000" w:rsidDel="00000000">
              <w:rPr>
                <w:rtl w:val="0"/>
              </w:rPr>
              <w:t xml:space="preserve">  kategorijas transportlīdzeklis – 100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riepām, ar ko ir aprīkots M</w:t>
            </w:r>
            <w:r w:rsidR="00000000" w:rsidRPr="00000000" w:rsidDel="00000000">
              <w:rPr>
                <w:vertAlign w:val="subscript"/>
                <w:rtl w:val="0"/>
              </w:rPr>
              <w:t xml:space="preserve">3</w:t>
            </w:r>
            <w:r w:rsidR="00000000" w:rsidRPr="00000000" w:rsidDel="00000000">
              <w:rPr>
                <w:rtl w:val="0"/>
              </w:rPr>
              <w:t xml:space="preserve">, N</w:t>
            </w:r>
            <w:r w:rsidR="00000000" w:rsidRPr="00000000" w:rsidDel="00000000">
              <w:rPr>
                <w:vertAlign w:val="subscript"/>
                <w:rtl w:val="0"/>
              </w:rPr>
              <w:t xml:space="preserve">3</w:t>
            </w:r>
            <w:r w:rsidR="00000000" w:rsidRPr="00000000" w:rsidDel="00000000">
              <w:rPr>
                <w:rtl w:val="0"/>
              </w:rPr>
              <w:t xml:space="preserve"> un O</w:t>
            </w:r>
            <w:r w:rsidR="00000000" w:rsidRPr="00000000" w:rsidDel="00000000">
              <w:rPr>
                <w:vertAlign w:val="subscript"/>
                <w:rtl w:val="0"/>
              </w:rPr>
              <w:t xml:space="preserve">4</w:t>
            </w:r>
            <w:r w:rsidR="00000000" w:rsidRPr="00000000" w:rsidDel="00000000">
              <w:rPr>
                <w:rtl w:val="0"/>
              </w:rPr>
              <w:t xml:space="preserve"> kategorijas transportlīdzeklis  – 110 euro par vienu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riepām, ar ko ir aprīkots O</w:t>
            </w:r>
            <w:r w:rsidR="00000000" w:rsidRPr="00000000" w:rsidDel="00000000">
              <w:rPr>
                <w:vertAlign w:val="subscript"/>
                <w:rtl w:val="0"/>
              </w:rPr>
              <w:t xml:space="preserve">1</w:t>
            </w:r>
            <w:r w:rsidR="00000000" w:rsidRPr="00000000" w:rsidDel="00000000">
              <w:rPr>
                <w:rtl w:val="0"/>
              </w:rPr>
              <w:t xml:space="preserve"> un O</w:t>
            </w:r>
            <w:r w:rsidR="00000000" w:rsidRPr="00000000" w:rsidDel="00000000">
              <w:rPr>
                <w:vertAlign w:val="subscript"/>
                <w:rtl w:val="0"/>
              </w:rPr>
              <w:t xml:space="preserve">2</w:t>
            </w:r>
            <w:r w:rsidR="00000000" w:rsidRPr="00000000" w:rsidDel="00000000">
              <w:rPr>
                <w:rtl w:val="0"/>
              </w:rPr>
              <w:t xml:space="preserve"> kategorijas transportlīdzeklis – 10 euro par vienu transportlīdzekli.”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2021.gadā izskatītā likme - 0,20 euro/kg par akumulatoru vai bateriju, kas paredzēta ceļu satiksmē izmantojama elektroautomibiļa vai hidrīdautomobiļa vilces nodrošināšanai elektroatomobiļu bateriju tehnoloģiju attīstības un straujā patēriņa cenu indeksa pieauguma dēļ ir kļuvusi relatīvi zemāka, un tāpēc tā ir jāparskata. Līdz ar to ierosinām DRN likmi 6.pielikuma 2.5. punktā noteikt vismaz 0,25 euro/kg.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40., 41., 42., 43., 44., 45., 46. un 47.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1 </w:t>
            </w:r>
            <w:r w:rsidR="00000000" w:rsidRPr="00000000" w:rsidDel="00000000">
              <w:rPr>
                <w:rtl w:val="0"/>
              </w:rPr>
              <w:t xml:space="preserve">pants stājas spēkā 2023.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Ministru kabinets līdz 2023. gada 1. oktobrim izdod šā likuma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3. panta pirmās daļas 7.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Ministru kabinets līdz 2023. gada 1.oktobrim izdod šā likuma 27. panta 5.</w:t>
            </w:r>
            <w:r w:rsidR="00000000" w:rsidRPr="00000000" w:rsidDel="00000000">
              <w:rPr>
                <w:vertAlign w:val="superscript"/>
                <w:rtl w:val="0"/>
              </w:rPr>
              <w:t xml:space="preserve">1</w:t>
            </w:r>
            <w:r w:rsidR="00000000" w:rsidRPr="00000000" w:rsidDel="00000000">
              <w:rPr>
                <w:rtl w:val="0"/>
              </w:rPr>
              <w:t xml:space="preserve">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2023. gada 1.aprīlim  izdod šā likuma 6.</w:t>
            </w:r>
            <w:r w:rsidR="00000000" w:rsidRPr="00000000" w:rsidDel="00000000">
              <w:rPr>
                <w:vertAlign w:val="superscript"/>
                <w:rtl w:val="0"/>
              </w:rPr>
              <w:t xml:space="preserve">1 </w:t>
            </w:r>
            <w:r w:rsidR="00000000" w:rsidRPr="00000000" w:rsidDel="00000000">
              <w:rPr>
                <w:rtl w:val="0"/>
              </w:rPr>
              <w:t xml:space="preserve">panta astotajā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aprīlī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 oktobrī – attiecībā uz mitrajām salvetēm, baloniem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46.Grozījumi šā likuma 24.pantā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47.Grozījums šā likuma 1.pielikumā, kas paredz noteikt nodokļa likmi par ogļūdeņražu ieguvi, stāsies spēkā vienlaikus ar grozījumiem likumā “Par zemes dzīlēm” , kas paredz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ietvertā pārejas noteikumu 45.punkta redakcija nav pilnīga, jo akcīzes nodokli par tabakas izstrādājumiem maksā ne tikai apstiprināts akcīzes preču noliktavas turētājs, bet arī akcīzes preču importētājs, reģistrēts saņēmējs, īslaicīgi reģistrēts saņēmējs, kā arī no 2023.gada 13.februāra - sertificēts saņēmējs un īslaicigi sertificēts saņēmējs. Savukārt filtri, kas paredzēti lietošanai kopā ar tabakas izstrādājumiem, nav akcīzes prece, un tos var realizēt jebkurš tirgotājs, ne tikai tāds, kurš ir saņēmis atbilstošu licenci darbībām ar tabakas izstrādājumiem. Līdz ar to lūdzam precizēt minēto punktu, lai tiktu noteikti skaidri nosacījumi visiem ražotājiem un tirgotājiem, kas ar 2023.gada 1.aprīli veiks darbības ar tabakas izstrādājumiem ar filtriem un filtriem, kas paredzēti lietošanai kopā ar tabakas izstrādājumiem.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DRN maksātājam, kas nepiedalās ražotāja paplašinātās atbildības sistēmā, pienākumu maksāt nodokli par Latvijas Repubblikā realizētajiem tabakas izstrādājumiem ar fitriem un filtriem, kas paredzēti lietošanā kopā ar tabakas izstrādājumiem, lūdzam anotācijā sīkāk pakaidrot, kāda ietkme veidojas uz patēriņam nodoto cigarešu paciņas cenu, ja DRN nodokļa maksātājs ir ražotāja paplašinātās atbildības sistēmas dalīnbieks vai nav tās dalībnieks. Papildus lūdzam izskaidrot, kā tiks noteikta tabakas izstrādajumu ar fitriem svars un tikai atsevišku filtru, kas paredzēti lietošanai kopā ar tabakas izstrādājumiem, svars, kurus realizē tirgotāji kā atsevišku produktu.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šā panta četrpadsmitajā daļā minētos gadījumus, kad pārskats par iepriekšējo gadu iesniedzams līdz nākamā gada 20. oktobrim, un šā panta piecpadsmitajā daļā minētos gadījumus, kad pārskats par iepriekšējo gadu iesniedzams līdz nākamā gada 20.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17.pants paredz papildināt Dabas resursu nodokļa likuma 27.pantu ar sešpadsmito daļu, kurā noteikts, ka nodokļa maksātājs par vienreiz lietojamajiem plastmasu saturošiem izstrādājumiem un plastmasu saturošiem zvejas rīkiem nodokli aprēķina līdz nākamā gada 20. aprīlim. Aprēķināto nodokli nodokļa maksātājs par iepriekšējo gadu iemaksā vienotajā nodokļu kontā līdz nākamā gada 23.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izņēmums, kad pārskats par iepriekšējo gadu iesniedzams līdz nākamā gada 20. aprīlim, noteikts likuma 27.panta sešpadsmitajā daļā, nevis piecpadsmitajā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likumprojekta 17.panta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šā panta četrpadsmitajā daļā minētos gadījumus, kad pārskats par iepriekšējo gadu iesniedzams līdz nākamā gada 20. oktobrim, un šā panta sešpadsmitajā daļā minētos gadījumus, kad pārskats par iepriekšējo gadu iesniedzams līdz nākamā gada 20. aprīlim.””.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Kucina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jaunu ar  DRN apliekamais objektu - tabakas izstrādājumus ar filtriem. No likumprojekta un tā anotācijas neizriet, kādā veidā tiks administrēts nodoklis par šiem produktiem, t.i., kādā veidā tiks noteikts filtra svars attiecībā pret cigaretes svaru. Ierosinām papildināt projekta anotāciju ar skaidrojot, kādā veidā tiks noteikts filtra saturs cigaretē.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Rudzīte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aizpildīt 5.1. un 5.3.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