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noteikt sporta organizēšanas, finansēšanas un attīstības vispārīgos un tiesiskos pamatus, atbalstot sportu kā sabiedrības attīstības un labklājības veicinātāju, nodrošinot ilgtspējīgu un drošu sporta vidi, sekmējot personu ar invaliditāti iekļaušanu sportā.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Formulējot likuma mērķi, pēc iespējas jākoncentrējas uz to, kas jāsasniedz ar šo likumu, nevis, ko likums regulē vai nosaka. Regulēšana kā tāda nav un nevar būt likuma mērķis. Likuma mērķis ir sasniegt labāku, tiesiskāku, efektīvāku, veiksmīgāku vai ekonomiski pamatotāku kādas situācijas risinājumu tiesisko attiecību virzību. Ņemot vērā minēto, lūdzam precizēt likumprojekta "Sporta likums" (turpmāk - likumprojekts) 2.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Sporta izglītības iestāde, kurai nav juridiskās personas statusa, var būt par sporta kluba, sporta federācijas vai citas sporta organizācijas biedru, ja ir saņemts attiecīgs tās dibinātāja pilnvarojums. Valsts dibinātai sporta izglītības iestādei attiecīgu pilnvarojumu apstiprina ar Ministru kabineta lēmumu, bet pašvaldības dibinātai sporta izglītības iestādei — ar pašvaldības domes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anotācijā nav pamatojuma likumprojekta 5. panta sestajā daļā paredzētajam regulējumam, lūdzam papildināt anotāciju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pirmo daļu, jo attiecīgais regulējums ir vispārīgs, un tas jau ir noteikts Ministru kabineta iekārtas likuma VIII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Tieslietu ministrija nodrošina nodarbošanos ar sportu ieslodzījuma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pants atbilstu Tieslietu ministrijas un tās padotības iestādes kompetencei, lūdzam izteikt pantu šādā redakcijā:</w:t>
            </w:r>
            <w:r w:rsidR="00000000" w:rsidRPr="00000000" w:rsidDel="00000000">
              <w:rPr>
                <w:rtl w:val="0"/>
              </w:rPr>
              <w:t xml:space="preserve">(4) Tieslietu ministrija (Ieslodzījuma vietu pārvalde) nodrošina nodarbošanos ar sportu ieslodzījuma vietās atbilstoši normatīvajiem aktiem par drošības līdzekļa - apcietinājums un brīvības atņemšanas soda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Škavronska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Tiešās pārvaldes iestādes kompetence sporta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w:t>
            </w:r>
            <w:r w:rsidR="00000000" w:rsidRPr="00000000" w:rsidDel="00000000">
              <w:rPr>
                <w:i w:val="1"/>
                <w:rtl w:val="0"/>
              </w:rPr>
              <w:t xml:space="preserve">(ex-ante)</w:t>
            </w:r>
            <w:r w:rsidR="00000000" w:rsidRPr="00000000" w:rsidDel="00000000">
              <w:rPr>
                <w:rtl w:val="0"/>
              </w:rPr>
              <w:t xml:space="preserve"> novērtējuma ziņojumā (turpmak - anotācija) ir sniegta informācija, ka likumprojekta 10. pantā ir noteikta tiešās pārvaldes iestādes kompetence sporta jomā, akcentējot jaunatnes  nozīmīgumu sporta nozares attīstībā un aktīvāku iesaisti sportisko rezultātu sasniegšanā. Iestāde tiks veidota, reorganizējot Izglītības un zinātnes ministrijas Sporta departamentu un ministrijas padotībā esošo Jaunatnes un starptautisko programmu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 nesniedz detalizētu informāciju, kad attiecīgās izmaiņas veicamas, proti, kad attiecīgā aģentūra pārņems Izglītības un zinātnes ministrijas Sporta departamenta uzdevumus. Lūdzam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datus, tostarp par sporta darbiniekiem, sportistiem (arī bērniem un jauniešiem) ar mērķi identificēt minēto personu sasniegumus, sportiskos rezultātus;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kopumā, skaidri nosakot par kādiem datu subjektiem un kādas personas datu kategorijas plānots apstrādāt Sporta reģistrā, anotācijā sniedzot skaidrojumu, kas pamatotu plānotās personas datu apstrādes nepieciešamību un samērīgumu. Paskaidrojam, ka tikai likumdevējs ir tiesīgs izvērtēt iejaukšanās personas pamattiesībās nepieciešamību un šā ierobežojuma apjomu, tādēļ vismaz likuma līmenī ir nosakāms personas datu apstrādes reģistrā nolūks un apstrādājamo personas datu apjoms - kādu datu subjektu un kādus datus plānots apstrādāt. Vienlaikus vēršam uzmanību, ja Sporta reģistrā tiek plānots apstrādāt arī veselības datus, vērā jāņem Datu regulas 9.panta 2.punktā noteiktie pamatojumi, lai šādu datu apstrādi varētu atzīt par tiesisku.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pašvaldību, izglītības iestādēm un sporta organizācijām ir pienākums regulāri, savlaicīgi un kvalitatīvi ievadīt vai aktualizēt nepieciešamo informāciju Sporta reģistrā. Informāciju Sporta reģistrā iekļauj valsts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trešās daļas otro teikumu. Valsts informācijas sistēmu likuma 8. panta 7. punkts jau paredz, ka valsts informācijas sistēmas pārzinis saskaņā ar normatīvajiem aktiem nodrošina un atbild par valsts informācijas sistēmas lietošanu valsts valodā, paredzot arī citas, starptautiskajās saistībās noteiktas valodas lietošanu. Ja šāds regulējums saglabājams, lūdzam pamatot to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Nacionālā sporta padome ir konsultatīva institūcija, kuras darbības mērķis ir piedalīties līdzsvarotas sporta nozares attīstības politikas veidošanā un īstenošanā, veicinot sporta attīstību un sadarbību sporta jomā, tostarp saskaņojot pasaules un Eiropas čempionātu finālsacensību organizēšanas norisi Latvijā. Latvijas Nacionālās sporta padomes sastāvā iekļauj šajā likumā noteiktās koordinējošās sporta organizācijas. Latvijas Nacionālās sporta padomes sastāvu, funkcijas, pienākumus un uzdevumus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likumprojekta 7. panta otrās daļas 5. punktā ir ietverts pilnvarojums Ministru kabinetam noteikt Latvijas Nacionālās sporta padomes sastāvu, apstiprināt nolikumu, kā arī noteikt lēmumu un atzinumu pieņemšanas kārtību, lūdzam izslēgt likumprojekta 15. panta pēdējo teikumu, kā arī nepieciešamības gadījumā attiecīgi precizēt likumprojekta 7. panta otrās daļas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par sporta federācijas statusa atzīšanu, atteikumu to atzīt vai lēmuma par atzītās sporta federācijas statusa zaudēšanu apstrīdēšana vai pārsūdzēšana neaptur tā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80. panta pirmā daļa noteic, ka </w:t>
            </w:r>
            <w:r w:rsidR="00000000" w:rsidRPr="00000000" w:rsidDel="00000000">
              <w:rPr>
                <w:u w:val="single"/>
                <w:rtl w:val="0"/>
              </w:rPr>
              <w:t xml:space="preserve">iesniegums par administratīvā akta apstrīdēšanu aptur tā darbību no dienas, kad iesniegums saņemts iestādē</w:t>
            </w:r>
            <w:r w:rsidR="00000000" w:rsidRPr="00000000" w:rsidDel="00000000">
              <w:rPr>
                <w:rtl w:val="0"/>
              </w:rPr>
              <w:t xml:space="preserve">, izņemot gadījumus, kas paredzēti šā likuma 360. 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Administratīvā procesa likuma 185. panta pirmā daļa noteic, ka </w:t>
            </w:r>
            <w:r w:rsidR="00000000" w:rsidRPr="00000000" w:rsidDel="00000000">
              <w:rPr>
                <w:u w:val="single"/>
                <w:rtl w:val="0"/>
              </w:rPr>
              <w:t xml:space="preserve">pieteikuma iesniegšana tiesā par administratīvā akta atcelšanu, atzīšanu par spēku zaudējušu vai spēkā neesošu aptur administratīvā akta darbību no dienas, kad pieteikums saņemts tiesā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Administratīvā procesa likuma 185. panta ceturtās daļas 8. un 10. punkts noteic, ka </w:t>
            </w:r>
            <w:r w:rsidR="00000000" w:rsidRPr="00000000" w:rsidDel="00000000">
              <w:rPr>
                <w:u w:val="single"/>
                <w:rtl w:val="0"/>
              </w:rPr>
              <w:t xml:space="preserve">šā panta pirmā daļa neattiecas uz gadījumiem, kad ar administratīvo aktu tiek atteikts nodibināt tiesiskas attiecības, kā arī administratīvais akts atceļ, anulē vai aptur speciālo atļauju (licenci, sertifikātu, akreditāciju u.tml.)</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Administratīvā procesa likuma 3. panta pirmā un otrā daļa noteic, ka </w:t>
            </w:r>
            <w:r w:rsidR="00000000" w:rsidRPr="00000000" w:rsidDel="00000000">
              <w:rPr>
                <w:u w:val="single"/>
                <w:rtl w:val="0"/>
              </w:rPr>
              <w:t xml:space="preserve">šo likumu piemēro administratīvajā procesā iestādē, ciktāl citu likumu speciālajās tiesību normās nav noteikta cita kārtība. Savukārt administratīvais process tiesā notiek saskaņā ar šo likumu. Ja cita likuma speciālā tiesību norma nosaka citu kārtību, kas nav pretrunā ar šā likuma pamatmērķiem un principiem, administratīvajā procesā tiesā piemēro cita likuma speciālo tiesību normu</w:t>
            </w:r>
            <w:r w:rsidR="00000000" w:rsidRPr="00000000" w:rsidDel="00000000">
              <w:rPr>
                <w:rtl w:val="0"/>
              </w:rPr>
              <w:t xml:space="preserve">. Līdz ar to, ja likumprojektā ir nepieciešams paredzēt citādāku regulējumu nekā Administratīvā procesa likumā, anotācijā jāietver attiecīgs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likumprojekta 18. panta otro daļu, nedublējot Administratīvā procesa likuma 185. panta ceturtās daļas 8. un 10. punktā paredzēto regulējumu, kā arī papildināt anotāciju ar atbilstošu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 "Latvijas Olimpiskā komiteja" atbilstoši Olimpiskajā hartā noteiktajam par nacionālo olimpisko komiteju vada olimpisko kustību, koordinē Latvijā atzīto olimpisko sporta veidu federāciju sadarbību, kā arī pārstāv un īsteno to kopīgās intereses Starptautiskās Olimpiskās komitejas apstiprinātajos olimpiskajos sporta veidos.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Olimpiskās hartas juridiski saistošo raksturu attiecībā uz privātpersonām, tostarp biedrību "Latvijas Olimpiskā komiteja" un biedrību “Latvijas Paralimpiskā komiteja”. Vēršam uzmanību, ka, ja minētais dokuments nav juridiski saistošs privātpersonām, to par juridiski saistošu nevar padarīt ar atsauci likumprojektā. Attiecīgi lūdzam pamatot atsauces iekļaušanas tiesiskumu.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skaidrot, par kādām Starptautiskās olimpiskās komitejas, Starptautiskās Paralimpiskās komitejas un starptautisko sporta federāciju prasībām ir runa likumprojekta 31. panta trešajā daļā, kur tās noteiktas un kāds ir to juridiski saistošais raksturs.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Nacionālie antidopinga noteikumi ietver dopinga definīciju, nosaka antidopinga noteikumu pārkāpumus, reglamentē to pierādīšanas kārtību un termiņus, rezultātu anulēšanu un sankcijas, kārtību un termiņus, kādos iesniedz un izskata pārsūdzības par antidopinga jomā iesaistīto institūciju pieņemtajiem lēmumiem, antidopinga jomā iesaistīto institūciju lēmumu atzīšanas kārtību un termiņus, ierobežojošos noteikumus sankciju piemērošanai, kā arī citus noteikumus atbilstoši antidopinga konvencijām.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likumprojekta 7. panta otrās daļas 3. punktā ir ietverts pilnvarojums Ministru kabinetam noteikt Nacionālos antidopinga noteikumus, lūdzam precizēt likumprojekta 24. pantu, kā arī nepieciešamības gadījumā attiecīgi precizēt likumprojekta 7. panta otrās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veic personas datu, tai skaitā veselības datu, apstrādi atbilstoši personas datu aizsardzību regulējošiem normatīvajiem aktiem, lai nodrošinātu antidopinga konvenciju noteikumu un Nacionālo antidopinga noteikumu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kopumā, skaidri nosakot kādu datu subjektu, kādas personas datu kategorijas attiecīgajam pārzinim, kas šajā gadījumā ir Latvijas Antidopinga birojs, ir tiesības apstrādāt, anotācijā sniedzot plašāku skaidrojumu, kas pamatotu nepieciešamību veikt noteikto personas datu apstrādi. Minētais iebildums attiecināms arī uz projekta 26. panta sesto daļu, 27. panta trešo daļu, 28. panta trešo daļu. Paskaidrojam, ka likumprojektā ietvertās tiesības apstrādāt personas datus, ir pārāk vispārīgas un rada pārmērīgas personas datu apstrādes riskus, tādējādi nesamērīgi iejaucoties personas tiesībās uz personas datu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Pasaules Antidopinga aģentūra, Starptautiskā Olimpiskā komiteja, Starptautiskā Paralimpiskā komiteja, starptautiskās sporta organizācijas un citas dalībvalstu antidopinga organizācijas pārsūdzības tiesības par Latvijas Antidopinga biroja, Disciplinārās antidopinga komisijas un Pārsūdzības komisijas pieņemtajiem lēmumiem īsteno atbilstoši antidopinga konvencijām.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Izprotam, ka identisks tiesiskais regulējums ietverts pašreiz spēkā esošajā Sporta likuma 11.</w:t>
            </w:r>
            <w:r w:rsidR="00000000" w:rsidRPr="00000000" w:rsidDel="00000000">
              <w:rPr>
                <w:vertAlign w:val="superscript"/>
                <w:rtl w:val="0"/>
              </w:rPr>
              <w:t xml:space="preserve">6</w:t>
            </w:r>
            <w:r w:rsidR="00000000" w:rsidRPr="00000000" w:rsidDel="00000000">
              <w:rPr>
                <w:rtl w:val="0"/>
              </w:rPr>
              <w:t xml:space="preserve"> pantā, tomēr lūdzam anotācijā skaidrot šādas normas nepieciešamību un pieļaujamību. 2005. gada 19. oktobra Starptautiskās konvencija pret dopingu sportā un 1989. gada 16. novembra Eiropas Padomes Antidopinga konvencija Nr. 135, kā arī Pasaules Antidopinga aģentūras pieņemtais Pasaules Antidopinga kodekss ir juridiski saistošs Latvijā, attiecīgi šāda norma pirmšķietami ir lieka. Turklāt izrietoši no teritoriālās jurisdikcijas principa likumdevējs nav tiesīgs paredzēt tiesības un pienākumus tiem tiesību subjektiem, kas nav pakļauti tā jurisdikcijai. Vienlaikus, ņemot vērā, ka ar norādi "atbilstoši antidopinga konvencijām" varētu būt domāti Pasaules antidopinga kodeksa, kas ir 2005. gada 19. oktobra Starptautiskās konvencijas pret dopingu sportā 1. papildinājums, attiecīgie noteikumi, lūdzam izvērtēt un skaidrot, vai norāde uz "antidopinga konvencijām" ir pilnībā korekta un pietiekama. Proti, ar antidopinga konvencijām likumprojektā apzīmētas 2005. gada 19. oktobra Starptautiskās konvencija pret dopingu sportā un Eiropas Padomes 1989. gada 16. novembra Antidopinga konvencija Nr. 135 (likumprojekta 10. panta piektās daļas 6. punkts), tomēr 2005. gada 19. oktobra Starptautiskās konvencijas pret dopingu sportā 4. panta 2. punkta 1.  teikums noteic, ka minētais kodekss un jaunākās 2. un 3. papildinājuma redakcijas pievienotas informatīviem nolūkiem un </w:t>
            </w:r>
            <w:r w:rsidR="00000000" w:rsidRPr="00000000" w:rsidDel="00000000">
              <w:rPr>
                <w:u w:val="single"/>
                <w:rtl w:val="0"/>
              </w:rPr>
              <w:t xml:space="preserve">nav konvencijas neatņemamas sastāvdaļas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izvērtēt un skaidrot arī likumprojektā ietverto tiesisko regulējumu saistībā ar sūdzību iesniegšanu par starptautisku organizāciju lēmumiem (sk., piemēram, likumprojekta 27. panta piekto daļu, 28. panta otro daļu), regulējumu par to, kādos gadījumos var iesniegt sūdzības Starptautiskajā arbitrāžas tiesā (sk., piemēram, likumprojekta 28. panta otro daļu), kā arī norādes, ka sūdzības iesniedz starptautiskā organizācijā vai tiesā </w:t>
            </w:r>
            <w:r w:rsidR="00000000" w:rsidRPr="00000000" w:rsidDel="00000000">
              <w:rPr>
                <w:u w:val="single"/>
                <w:rtl w:val="0"/>
              </w:rPr>
              <w:t xml:space="preserve">atbilstoši nacionālajiem</w:t>
            </w:r>
            <w:r w:rsidR="00000000" w:rsidRPr="00000000" w:rsidDel="00000000">
              <w:rPr>
                <w:rtl w:val="0"/>
              </w:rPr>
              <w:t xml:space="preserve"> antidopinga noteikumiem (sk., piemēram, likumprojekta 25. panta trešo daļu) u.tml. Proti, lūdzam izvērtēt, vai nacionālajā tiesiskajā regulējumā ir pieļaujams ietvert attiecīga satura normas, ņemot vērā teritoriālās jurisdikcijas principu un to, ka attiecīgos jautājumus regulē attiecīgie starptautiskie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Motosporta trases un sporta tiesnešus licencē biedrība "Latvijas Motosporta federācija", autosporta trases un sporta tiesnešus licencē biedrība "Latvijas Automobiļu federācija", ūdens motosporta trases un sporta tiesnešus licencē biedrība "Latvijas Ūdens motosporta federācija".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anotācijā, kāpēc salīdzinot ar šobrīd esošo deleģējumu Sporta likumā, netiek saglabāts, ka Ministru kabinets nosaka licencēšanas prasības un kārtību, kādā licencējamas trases un galvenie tiesneši attiecīgajā sporta veidā. Anotācijā ir sniegta informācija, ka likumprojekta 30. un 31. pantā paredzēta sporta pasākumu organizēšanas, olimpisko spēļu, pasaules un Eiropas čempionātu finālsacensību kārtība pamatā </w:t>
            </w:r>
            <w:r w:rsidR="00000000" w:rsidRPr="00000000" w:rsidDel="00000000">
              <w:rPr>
                <w:u w:val="single"/>
                <w:rtl w:val="0"/>
              </w:rPr>
              <w:t xml:space="preserve">netiek mainīta, salīdzinot ar esošo regulējumu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Reģistrācijas un sertifikācijas noteikumu pārkāpšana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likumprojektu tiek paredzēti jauni administratīvie pārkāpumi sporta jomā. Taču nav izvērtēta administratīvās atbildības nepieciešamība un pieļaujamība, kā arī paredzētais regulējums neatbilst administratīvās atbildības regulējumam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Pirms noteikt jaunu administratīvās atbildības pamatu, jāizvērtē vismaz šādi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 akta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Nozīmīgs rādītājs ir arī problēmsituācijas aktualitāte, proti, vai attiecīgi pārkāpumi faktiski tiek izdarīti pietiekami bieži, lai par to būtu nepieciešams paredzēt administratīvo atbildību </w:t>
            </w:r>
            <w:r w:rsidR="00000000" w:rsidRPr="00000000" w:rsidDel="00000000">
              <w:rPr>
                <w:i w:val="1"/>
                <w:rtl w:val="0"/>
              </w:rPr>
              <w:t xml:space="preserve">(sal. Informatīvais ziņojums "Nozaru administratīvo pārkāpumu kodifikācijas ieviešanas sistēmas īstenošana", 03.03.2020., 2. lpp. Pieejams: http://polsis.mk.gov.lv/)</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Administratīvā akta (rīkojuma, procesa) prioritātes princips </w:t>
            </w:r>
            <w:r w:rsidR="00000000" w:rsidRPr="00000000" w:rsidDel="00000000">
              <w:rPr>
                <w:rtl w:val="0"/>
              </w:rPr>
              <w:t xml:space="preserve">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 Latvijā valsts pārvaldei ir raksturīgi meklēt iespēju personu sodīt par pienākumu nepildīšanu, bet nereti netiek saskatīta iespēja panākt pienākumu izpildi ar administratīvā procesa līdzekļiem </w:t>
            </w:r>
            <w:r w:rsidR="00000000" w:rsidRPr="00000000" w:rsidDel="00000000">
              <w:rPr>
                <w:i w:val="1"/>
                <w:rtl w:val="0"/>
              </w:rPr>
              <w:t xml:space="preserve">(Laveniece-Straupmane N., Briede J., Liholaja V., Judins A., Ziemane I. Ārkārtējā situācija: juristu viedokļi par tiesisko regulējumu un tā piemērošanu. Jurista Vārds, 17.03.2020., Nr. 11)</w:t>
            </w:r>
            <w:r w:rsidR="00000000" w:rsidRPr="00000000" w:rsidDel="00000000">
              <w:rPr>
                <w:rtl w:val="0"/>
              </w:rPr>
              <w:t xml:space="preserve">. Tādējādi, ja pienākuma īstenošanu var panākt izdodot administratīvo aktu vai ar citiem nesodoša rakstura administratīvi tiesiskiem līdzekļiem, tad administratīvā atbildība pamatā nav paredzama.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Sabiedriskās kārtības mērķa sasniegšanas efektivitāte</w:t>
            </w:r>
            <w:r w:rsidR="00000000" w:rsidRPr="00000000" w:rsidDel="00000000">
              <w:rPr>
                <w:rtl w:val="0"/>
              </w:rPr>
              <w:t xml:space="preserve"> nozīmē, ka ar administratīvās atbildības noteikšanu var sasniegt attiecīgo mērķi (citiem vārdiem, atrisināt konstatēto problēmsituāciju). Šajā aspektā nepieciešams izvērtēt, vai administratīvais sods spēs mazināt konstatēto problēmsituāciju skaitu, apmēru un izplatību sabiedrībā, kā arī vai ar administratīvā pārkāpuma procesā esošajiem līdzekļiem būs iespējams šādas situācijas konstatēt, izmeklēt un pierādīt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Administratīvās atbildības regulējums nav paredzēts civiltiesisku strīdu risināšanai.</w:t>
            </w:r>
            <w:r w:rsidR="00000000" w:rsidRPr="00000000" w:rsidDel="00000000">
              <w:rPr>
                <w:rtl w:val="0"/>
              </w:rPr>
              <w:t xml:space="preserve"> Ja privātpersonai ir iespējams savas aizskartās tiesības aizstāvēt ar civiltiesiskās aizsardzības līdzekļiem, tad par attiecīgu privāttiesiskās attiecības regulējošo normu neievērošanu administratīvā atbildība nav paredzama. Tādējādi pārkāpumam jābūt saistītam ar publiski tiesiskām attiecībām. Ir atsevišķi izņēmuma gadījumi, kad administratīvie sodi tradicionāli tiek piemēroti arī par tādiem pārkāpumiem, kas pēc savas tiesiskās dabas attiecas uz privāttiesiskām attiecībām, piemēram, ja pārkāpuma rezultātā tiek skarts plašs sabiedrības loks (patērētāju tiesības)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56.-57.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Izvērtējot nepieciešamību noteikt administratīvo atbildību konkrētas problēmsituācijas risināšanai, jākonstatē tās bīstamība vai kaitīgums sabiedrības interesēm</w:t>
            </w:r>
            <w:r w:rsidR="00000000" w:rsidRPr="00000000" w:rsidDel="00000000">
              <w:rPr>
                <w:rtl w:val="0"/>
              </w:rPr>
              <w:t xml:space="preserve">. Proti, jāizvērtē, vai iespējamais pārkāpums var aizskart sabiedriskās intereses tādā mērā, ka nepieciešams paredzēt administratīvo atbildību par to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 lpp.)</w:t>
            </w:r>
            <w:r w:rsidR="00000000" w:rsidRPr="00000000" w:rsidDel="00000000">
              <w:rPr>
                <w:rtl w:val="0"/>
              </w:rPr>
              <w:t xml:space="preserve">. Šajā aspektā nozīmīga var būt arī administratīvās atbildības un kriminālatbildības norobežošana. Likumdevēja izvēle starp noziedzīgu nodarījumu un administratīvo pārkāpumu nedrīkst būt patvaļīga. Administratīvie pārkāpumi izpaužas kā noteiktas pārvaldības kārtības neievērošana, un tie nav saistīti ar sociālu stigmatizāciju vai publisku kaunu </w:t>
            </w:r>
            <w:r w:rsidR="00000000" w:rsidRPr="00000000" w:rsidDel="00000000">
              <w:rPr>
                <w:i w:val="1"/>
                <w:rtl w:val="0"/>
              </w:rPr>
              <w:t xml:space="preserve">(Smiltēna A. Administratīvās atbildības norobežošanas no kriminālatbildības problemātika. Grām.: Administratīvo pārkāpumu tiesības. Administratīvās atbildības likuma skaidrojumi. Sagatavojis autoru kolektīvs. E. Danovska un G. Kūtra zinātniskajā redakcijā. Rīga: Tiesu namu aģentūra, 2020, 23. lpp.)</w:t>
            </w:r>
            <w:r w:rsidR="00000000" w:rsidRPr="00000000" w:rsidDel="00000000">
              <w:rPr>
                <w:rtl w:val="0"/>
              </w:rPr>
              <w:t xml:space="preserve">. Šie pārkāpumi ir vienkārši traucējoši labai pārvaldībai vai sabiedriskajai kārtībai, bet tie neietver sevī kādu īpašu ļaunumu vai pilnīgu sabiedrības vai valsts vērtību ignoranci </w:t>
            </w:r>
            <w:r w:rsidR="00000000" w:rsidRPr="00000000" w:rsidDel="00000000">
              <w:rPr>
                <w:i w:val="1"/>
                <w:rtl w:val="0"/>
              </w:rPr>
              <w:t xml:space="preserve">(Kalniņa V. Administratīvo pārkāpumu tiesību sistēmas reforma – domāšanas reforma. Jurista Vārds, 15.11.2016., Nr. 46)</w:t>
            </w:r>
            <w:r w:rsidR="00000000" w:rsidRPr="00000000" w:rsidDel="00000000">
              <w:rPr>
                <w:rtl w:val="0"/>
              </w:rPr>
              <w:t xml:space="preserve">. Citiem vārdiem sakot, ja noziedzīgs nodarījums ir ļaunums pats par sevi, tad administratīvais pārkāpums ir morāli neitrāla rīcība un tā izdarītājs – nevērīga vai bezrūpīga persona </w:t>
            </w:r>
            <w:r w:rsidR="00000000" w:rsidRPr="00000000" w:rsidDel="00000000">
              <w:rPr>
                <w:i w:val="1"/>
                <w:rtl w:val="0"/>
              </w:rPr>
              <w:t xml:space="preserve">(Foundations of European Criminal Law. Norel Neagu (Ed.). Bucureşti: Editura C.H. Beck, 2014, p. 67)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w:t>
            </w:r>
            <w:r w:rsidR="00000000" w:rsidRPr="00000000" w:rsidDel="00000000">
              <w:rPr>
                <w:b w:val="1"/>
                <w:rtl w:val="0"/>
              </w:rPr>
              <w:t xml:space="preserve">aizliegts paredzēt administratīvos sodus par administratīvā akta labprātīgu neizpildīšanu</w:t>
            </w:r>
            <w:r w:rsidR="00000000" w:rsidRPr="00000000" w:rsidDel="00000000">
              <w:rPr>
                <w:rtl w:val="0"/>
              </w:rPr>
              <w:t xml:space="preserve">. Ja lieta ir uzsākta administratīvajā procesā, tad šajā procesā tā arī ir jāpabeidz, ja nepieciešams, izmantojot administratīvā akta piespiedu izpildes līdzekļus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57.-58.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minēto, lai varētu izvērtēt administratīvās atbildības nepieciešamību un pieļaujamību likuprojektā paredzētajos gadījumos, anotācijā jāietver argumentēts visu iepriekš minēto kritēriju izvērtējums. Administratīvās atbildības nepieciešamības un pieļaujamības kritēriju izvērtējums ir jāveic par katru projektā paredzēto pārkāpumu atsevišķi.</w:t>
            </w:r>
            <w:r w:rsidR="00000000" w:rsidRPr="00000000" w:rsidDel="00000000">
              <w:rPr>
                <w:b w:val="1"/>
                <w:rtl w:val="0"/>
              </w:rPr>
              <w:t xml:space="preserve">Ja, izvērtējot administratīvās atbildības pieļaujamības un nepieciešamības kritērijus, tiek konstatēta neatbilstība kādam no kritērijiem, administratīvā atbildība nebūtu paredzama.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Anotācijā iekļaujams arī paredzēto pārkāpumu satura skaidrojums, tostarp jānorāda korespondējošās tiesību normas, par kuru neievērošanu būs paredzēta administratīvā atbildība. Vienlaikus, lai nodrošinātu minēto prasību izpildi, likumprojektu ir nepieciešams papildināt ar regulējumu, kas nosaka administratīvā pārkāpuma pazīmju saturu (regulējums, par kura neievērošanu tiek paredzēta administratīvā atbildība).  Nav pieļaujama situācija, ka administratīvā pārkāpuma saturu būtībā nosaka tikai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Anotācijā iekļaujams soda veida un apmēra izvēles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iekļaujams pamatojums izvēlētajam soda veidam un apmēram. Viens no soda samērīguma un soda veida un apmēra izvēles pamatkritērijiem ir pārkāpuma smagums un tā iespējamās sekas </w:t>
            </w:r>
            <w:r w:rsidR="00000000" w:rsidRPr="00000000" w:rsidDel="00000000">
              <w:rPr>
                <w:i w:val="1"/>
                <w:rtl w:val="0"/>
              </w:rPr>
              <w:t xml:space="preserve">(Cafaggi F., Iamiceli P. The Principles of Effectiveness, Proportionality and Dissuasiveness in the Enforcement of EU Consumer Law: The Impact of a Triad on the Choice of Civil Remedies and Administrative Sanctions. European Review of Private Law, 2017, Vol. 25, Iss. 3, p. 599)</w:t>
            </w:r>
            <w:r w:rsidR="00000000" w:rsidRPr="00000000" w:rsidDel="00000000">
              <w:rPr>
                <w:rtl w:val="0"/>
              </w:rPr>
              <w:t xml:space="preserve">. Lai to izvērtētu, citstarp nozīmīgs ir ar attiecīgajām tiesību normām aizsargātā tiesiskā labuma (interešu) svarīgums un pārkāpuma sabiedriskais nosodījums </w:t>
            </w:r>
            <w:r w:rsidR="00000000" w:rsidRPr="00000000" w:rsidDel="00000000">
              <w:rPr>
                <w:i w:val="1"/>
                <w:rtl w:val="0"/>
              </w:rPr>
              <w:t xml:space="preserve">(Ģenerāladvokāta Damaso Ruisa-Harabo Kolomera 2005. gada 26. maija secinājumu lietā C-176/03 46. punkts)</w:t>
            </w:r>
            <w:r w:rsidR="00000000" w:rsidRPr="00000000" w:rsidDel="00000000">
              <w:rPr>
                <w:rtl w:val="0"/>
              </w:rPr>
              <w:t xml:space="preserve">. Protams, šie kritēriji neļauj precīzi noteikt (aprēķināt) pārkāpumam atbilstošu soda veidu vai apmēru, tie vairāk vērtējoši raksturo pārkāpumu salīdzinājumā ar citiem pārkāpumiem </w:t>
            </w:r>
            <w:r w:rsidR="00000000" w:rsidRPr="00000000" w:rsidDel="00000000">
              <w:rPr>
                <w:i w:val="1"/>
                <w:rtl w:val="0"/>
              </w:rPr>
              <w:t xml:space="preserve">(Evaluation Study on the Implementation of Directive 2008/99/EC on the Protection of the Environment through Criminal Law by Member States. Brussels: 2014, p. 81)</w:t>
            </w:r>
            <w:r w:rsidR="00000000" w:rsidRPr="00000000" w:rsidDel="00000000">
              <w:rPr>
                <w:rtl w:val="0"/>
              </w:rPr>
              <w:t xml:space="preserve">. Soda samērīgumu ietekmē arī citi kritēriji, piemēram, pārkāpuma rezultātā iespējamais iegūtais labums (ekonomiskais izdevīgums), kā arī tas, vai sods nerada pārmērīgu apgrūtinājumu personai, kurai tas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Pārkāpuma izdarīšana nedrīkst būt ekonomiski izdevīga, ja salīdzina pārkāpuma rezultātā iegūto labumu un par pārkāpumu iespējamo sodu. Soda apmēra un pārkāpuma rezultātā iegūtā labuma attiecība, kā arī reālā iespēja, ka pārkāpums vispār tiks atklāts un sods piemērots, ir kritēriji, kas raksturo arī soda preventīvo (atturošo) iedarbību </w:t>
            </w:r>
            <w:r w:rsidR="00000000" w:rsidRPr="00000000" w:rsidDel="00000000">
              <w:rPr>
                <w:i w:val="1"/>
                <w:rtl w:val="0"/>
              </w:rPr>
              <w:t xml:space="preserve">(Faure M. Effective, Proportional and Dissuasive Penalties in the Implementation of the Environmental Crime and Shipsource Pollution Directives: Questions and Challenges. European Energy and Environmental Law Review, 2010, p. 260)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nepieciešams gan soda veida, gan tā apmēra – minimālās un maksimālās robežas – izvēlei.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Administratīvās atbildības regulējums nav noformēts atbilstoši tam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nav iedalīts nodaļās, kā rezultātā administratīvā atbildība būtu iekļaujama atsevišķā nodaļā ar noteiktām prasībām atbilstošu nodaļas nosaukumu un saturu. Tomēr jebkurā gadījumā projektā ir precīzi jāidentificē, ka konkrētajā pantā vai pantos ir paredzēta administratīvā atbildība. Attiecīgo norādi tad iekļauj panta nosaukumā (sk., piemēram, Trauksmes celšanas likumu, Brīvības pieminekļa un Rīgas Brāļu kapu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pazīmes norādāmas precīzi, bez liekvārdības un izsmeļoši. Izlasot pantu, jābūt vienkārši saprotamam, uz kādu korespondējošo normu pārkāpumu tas 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izmantot apzīmējumu "kompetence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Precizējams kompetences administratīvā pārkāpuma procesā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"Saskaņā ar Ministru kabineta 2013. gada 23. aprīlļa noteikumu Nr. 225 "Izglītības kvalitātes valsts dienesta nolikums" 3.8. apakšpunktu viena no Izglītības kvalitātes valsts dienesta funkcijām ir veikt sporta speciālistu un sporta izglītības iestāžu darba uzraudzību. Līdz ar to Likumprojektā tiek nostiprināta normatīvo aktu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parasti Latvijā administratīvā pārkāpuma procesu veic tās iestādes amatpersonas, kura kontrolē vai uzrauga pamatregulējuma īstenošanu, tomēr jāievēro, ka administratīvā atbildība nav uzraudzības vai kontroles sastāvdaļa. Tas ir patstāvīgs tiesību institūts, un administratīvā atbildība (resp., sodīšana) norobežojama no uzraudzības vai kontroles. Nepieciešamība piemērot administratīvo atbildību var izrietēt no uzraudzības (kontroles) pasākumu rezultātā iegūtās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dienesta amatpersonas teorētiski var veikt administratīvā pārkāpuma procesu (Administratīvās atbildības likuma 115. panta pirmā daļa). Tādu kompetenci var paredzēt arī likumprojektā. Iestādes izvēles pamatojums var būt saistīts ar to, ka tā uzrauga vai kontrolē attiecīgās jomas normatīvo aktu īstenošanu. Tomēr anotācijā nevar apgalvot, ka saistībā ar kompetenci administratīvā pārkāpuma procesā "tiek nostiprināta normatīvo aktu uzraudzība un kontrole".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normatīvajos aktos noteiktās reģistrācijas sporta reģistrā pārkāpšanu piemēro brīdinājumu vai naudas sodu no desmit līdz sešdesmit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pārkāpumu ir iespējams piemērot brīdinājumu, tādā gadījumā naudas soda minimālais apmērs nebūtu nosakāms un sankcija būtu izsakāma šādā redakcijā: "piemēro brīdinājumu vai naudas sodu līdz sešdesmit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formulējot pārkāpuma pazīmes, lūdzam nerakstīt "normatīvajos aktos noteiktās" – normatīvie akti ir saistoši bez šādām norādēm un šādiem vārdiem nav juridiskas slodzes. Tā vietā lūdzam noteikt kāda darbība vai bezdarbība ir sodāma.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profesionālo darbību bez normatīvajos aktos noteiktā sertifikāta piemēro naudas sodu no desmit līdz sešdesmit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Formulējot pārkāpuma pazīmes, lūdzam izvairīties no vārdiem "normatīvajos aktos noteiktā" – normatīvie akti ir saistoši bez šādām norādēm un šādiem vārdiem nav juridiskas slodzes. Tā vietā aicinām noteikt, kāda darbība vai bezdarbība ir sodāma.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līdz 2026.gada 1.novembrim izdod šā likuma 10.pantā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likumprojekta 7. panta otrajā daļā paredzētajiem Ministru kabineta noteikumiem, jo nav noteikts to izstrādāšanas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35. panta pirmajā daļā ir noteikts, ka par sporta treneri un sporta tiesnesi drīkst strādāt persona, kurai ir nevainojama reputācija, kura nav sodīta par tīša nozieguma izdarīšanu pret valsti, īpašumu vai pārvaldības kārtību, tīša nozieguma izdarīšanu tautsaimniecībā vai valsts institūciju dienestā vai par tāda nozieguma izdarīšanu, kas saistīts ar terorismu, vai kura sodīta par šādiem noziegumiem, bet kurai sodāmība ir noņemta vai dzēsta, kā arī, kura nav sodīta par tīšu noziedzīgu nodarījumu, kas saistīts ar vardarbību vai vardarbības piedraudējumu, — līdz dienai, kad sodāmība dzēsta vai noņemta, kā arī, kas nav sodīta par noziedzīgu nodarījumu pret tikumību un dzimumneaizskaramību, — neatkarīgi no sodāmības dzēšanas vai noņemšanas.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Informējam, ka Saeimas Aizsardzības, iekšlietu un korupcijas novēršanas komisija ir aicinājusi Ministru kabinetu aktualizēt Ministru kabineta 2020. gada 3. marta sēdes protokollēmuma (prot. Nr. 9 40. §) 3. punktā noteikto uzdevumu un jaunās judikatūras kontekstā pārvērtēt normatīvajos aktos noteiktos aizliegumus personai izvēlēties nodarbošanos saistībā ar iepriekš izdarītu noziedzīgu nodarījumu un pārvērtēt esošo ierobežojumu nepieciešamību un samērīgumu. 2020. gada 3. marta Ministru kabineta sēdes protokollēmuma (prot. Nr. 9 40. §) 3. punkts ietver šādus kritērijus, pēc kuriem vērtēt ierobežojuma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 vai aizliegums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vai aizliegumu ir iespējams attiecināt tikai uz tīšiem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 vai aizliegumu ir iespējams attiecināt tikai uz atsevišķiem noziedzīgiem nodarījumiem (piemēram, autortiesību un blakustiesību pārkāpšana saskaņā ar Krimināllikuma 148.pantu, izvairīšanās no nodokļu un tiem pielīdzināto maksājumu nomaksas saskaņā ar Krimināllikuma 218.pantu un būvniecības noteikumu pārkāpšana saskaņā ar Krimināllikuma 239.pantu);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3.4. vai aizliegumu ir iespējams attiecināt tikai uz atsevišķu noziedzīgu nodarījumu grupām (piemēram, noziedzīgi nodarījumi pret personas dzīvību un veselību; noziedzīgi nodarījumi pret tikumību un dzimumneaizskaramību; noziedzīgi nodarījumi tautsaimniecībā; noziedzīgi nodarījumi valsts institūciju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 vai atbilstoši, proti, no kaitīgākā uz mazāk kaitīgu, aizliegumu ir iespējams attiecināt tikai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3.5.1.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3.5.2. smagiem un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3.5.3. noziegumiem (mazāk smagiem, smagiem un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3.5.4. noziedzīgiem nodarījumiem (kriminālpārkāpumiem un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vai aizliegumu ir iespējams neattiecināt uz personām, kuras noziedzīgu nodarījumu izdarījušas būdamas nepilngadīgas;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3.7. vai absolūtu aizliegumu ir iespējams aizstāt ar terminētu aizliegumu, proti, tādu, kas beidzas līdz ar sodāmības dzēšanu vai noņemšanu;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vai absolūtu aizliegumu ir iespējams atcelt, veicot individuālu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minētajiem kritērijiem un to, ka pēdējo piecu gadu laikā Satversmes tiesa arvien vairāk ierosina lietas par normatīvajos aktos noteiktajiem ierobežojumiem un lielākoties noteiktos ierobežojumus arī atzīst kā nesamērīgus un tādējādi Satversmei neatbilstošus, Tieslietu ministrija norāda, ka būtu svarīgi atteikties no absolūtiem tiesību ierobežojumiem tiesību normās, kā arī sašaurināt noziedzīgo nodarījumu loku, uz kuriem tiesību ierobežojumi ir attiecināmi, attiecinot ierobežojumu uz īpaši bīstamiem noziedzīgiem nodarījumiem un tādiem noziedzīgiem nodarījumiem, kas saistīti tieši ar konkrēto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Tieslietu ministrijas ieskatā, ir nepieciešams paplašināts izvērtējums, ņemot vērā iepriekš minētos kritērijus, lai šādu ierobežojumu varētu uzskatīt par samērīgu un atbilstošu konkrētajai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Šajā gadījumā ierobežojumi attiecībā uz sporta tiesnešiem un sporta treneriem, kuri strādā ar nepilngadīgajiem, būtu salāgojami ar Bērnu tiesību aizsardzības likuma 72. panta piektajā daļā paredzētajiem ierobežojumiem, anotācijā skaidrojot, ka, ja sporta tiesnesis vai sporta treneris strādā ar bērniem, tad uz viņu ir attiecināmas Bērnu tiesību aizsardzības likuma prasības, t.sk. šā likuma 72. panta piektajā daļā noteiktie ierobežojumi. Savukārt attiecībā uz sporta tiesnešiem un sporta treneriem, kuri strādā ar pilngadīgajām personām, ierobežojumi tāpat ir sašaurināmi, attiecinot tos uz noziedzīgiem nodarījumiem, kas saistīti tieši ar konkrēto nozari (noziedzīgiem nodarījumiem, kas saistīti ar vardarbību vai vardarbības piedraudējumu, noziedzīgi nodarījumi pret tikumību un dzimumneaizskaramību, kā arī uz noziedzīgiem nodarījumiem tautsaimniecībā saistībā ar sporta sacensībām (KL 212.1 pants - manipulācijas ar sporta sacensībām), nosakot ierobežojuma termiņu, proti, paredzot ierobežojumu līdz sodāmības dzēšanai vai noņemšanai.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Popova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5.3. apakšsadaļā ne tikai norādīt starptautiskos tiesību aktus un dokumentus, kuru prasības ieviestas likumprojektā, bet pēc būtības aizpildīt anotācijas 5.2. apakšsadaļu un 5.5. apakšsadaļas 2. tabulu, sniedzot informāciju par starptautiskajos tiesību aktos paredzēto saistību izpildi konkrētās likumprojekta vienībās, kā arī 5.3. apakšsadaļā sniedzot izvērstāku skaidrojumu par konkrēto juridiski nesaistošo starptautisko dokumentu prasību pārņemšanu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Citastarp norādām, ka likumprojekts ir nevis grozījumu spēkā esošajā Sporta likumā projekts, bet gan jauns likumprojekts, attiecīgi lūdzam anotācijā sniegt izvērstākus skaidrojumus par likumprojektā ietverto regulējumu un to atbilstību Latvijas starptautiskajām saistībām, tostarp arī pamatot likumprojektā paredzētos ierobežojumus (piemēram, bet ne tikai, 33. un 34. pantā paredzētos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būtiski papildināt anotācijas 6.3. apakšpunktu, sniedzot aprakstu par sabiedrības līdzdalības rezultātiem, ņemot vērā, ka publiskā apspriešana jau ir noslēgusies 2025. gada 9. aprīlī.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detalizēti sniegt informāciju, kādas tieši aģentūras funkcijas un uzdevumi tiks mainīti (paplašināti vai sašaurināti). Tāpat lūdzam sniegt informāciju, kā tas ietekmēs Izglītības un zinātnes ministrijas iekšējos procesus saistībā ar Sporta departamentu.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8.1.12. apakšpunktu, jo likumprojektam ir ietekme uz cilvēktiesībām (likumprojektā paredzētie ierobežojumi).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likuprojekts paredz personas datu apstrādi, ņemot vērā Valsts kancelejas 2021. gada vadlīnijās sākotnējās ietekmes novērtēšanai un novērtējuma ziņojuma sagatavošanai vienotajā tiesību aktu izstrādes un saskaņošanas portālā noteiktajam, lūdzam anotācijas 8.1.13. apakšpunktā ietvert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informāciju par to, vai dati tiks nodoti citām institūcijām un kādā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52.2.1., 52.2.6.</w:t>
            </w:r>
            <w:r w:rsidR="00000000" w:rsidRPr="00000000" w:rsidDel="00000000">
              <w:rPr>
                <w:vertAlign w:val="superscript"/>
                <w:rtl w:val="0"/>
              </w:rPr>
              <w:t xml:space="preserve">1</w:t>
            </w:r>
            <w:r w:rsidR="00000000" w:rsidRPr="00000000" w:rsidDel="00000000">
              <w:rPr>
                <w:rtl w:val="0"/>
              </w:rPr>
              <w:t xml:space="preserve">, 52.1.4., 52.2.7. apakšpunktam atzinumu  (projekta saskaņojumu) nepieciešams saņemt no Valsts kancelejas (ja projekts attiecas uz valsts pārvaldes institucionālo uzbūvi un darbības principiem, kā arī amata vietu skaita un atlīdzības izmaiņām (izņemot pedagogus)), Datu valsts inspekcijas, ja projekts skar personas datu apstrādes jautājumus, tostarp personas datu apstrādi informācijas sistēmās, Viedās administrācijas un reģionālās attīstības ministrijas (projekts skar pašvaldību un informāciju sistēmu jautājumus), Nacionālās trīspusējās sadarbības padomes dalībpušu organizācijām – biedrības "Latvijas Darba devēju konfederācija" un arodbiedrību apvienības "Latvijas Brīvo arodbiedrību savienība" (projekts skar darba devēju un darbinieku intereses sporta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likumprojektu saskaņot ar attiecīgajām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persona, kas nodarbojas ar sportu un piedalās sporta sacensībās, tai skaitā parasportists;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"tai skaitā parasportists", jo iepriekš sniegtais skaidrojums to aptver un parasportistu nav īpaši jāizceļ (ievērojot vienlīdzības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darbības 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likumiem var būt noteikta konkrēta darbības joma, ierobežota piemērojamība vai izņēmumi. Šie jautājumi, ja nepieciešams, arī ir jāietver likumprojektā, un tos ietver likuma sākuma daļā (aiz likuma mērķa). Tādējādi tiek identificēta (sašaurināta) likuma piemērojamība attiecībā pret personām un noteiktiem tiesisko attiecību veidiem, savukārt, definējot darbības jomas, iespējams precīzāk atšifrēt likuma nosaukumu un atspoguļot tā saturu. Ja likuma piemērojamība ir ļoti plaša, iespējams, lietderīgāk un efektīvāk ir likumprojektā nosaukt personas vai objektus, uz kuriem likuma galvenais saturs neattiecas. Likuma darbības jomas formulējums parasti sākas ar tādiem vārdiem kā, piemēram, "likums nosaka", "likumu piemēro", "likums attiecas uz" vai "likums neattiecas uz" (skat. Normatīvo aktu projektu izstrādes rokasgrāmata. Pieejama: https://tai.mk.gov.lv/book/1/chapter/96).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likumprojekta 3. pantā paredzēto regulējumu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Šis likums balstās uz Eiropas Savienības noteiktajiem sporta politikas principiem, kas ietver caurspīdīgumu, līdzdalību, sociālo iekļaušanu un vienlīdzību, uzsverot sporta lomu sabiedrības veselības veicināšanā, izglītībā un ilgtspējīgā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par kādiem Eiropas Savienības noteiktajiem sporta politikas principiem likumprojekta 1. pantā ir runa un kur tie ir noteikti.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Likums nosaka labas pārvaldības, dzimumu līdztiesības un sportistu duālās karjeras atbalsta principus, veicinot starptautisko sadarbību un Latvijas integrāciju globālajā sporta kustībā, kā arī veicinot ilgtspējīgu sporta infrastruktūras attīstību, izmantojot videi draudzīgus risinājumus.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minētie principi nav ietverami un skaidrojami likumprojekta 4. pantā, proti, ka attiecīgām institūcijām tie ir jāievēro. Vēršam uzmanību, ka ir noteikts, ka likums nosaka labas pārvaldības, dzimumu līdztiesības un sportistu duālās karjeras atbalsta principus, bet nav saprotams, kas ar šiem principiem tiek saprasts un kāds ir to tvērums likuma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Sporta izglītības iestāde, sporta klubi un sporta organizācijas, īstenojot sporta izglītības programmas saturu attiecīgajā sporta veidā, nodrošina Latvijā atzītās sporta federācijas apstiprinātajā sporta veida paraugprogrammā (tostarp sporta interešu izglītībā) noteiktos mērķus, sportiskos sasniegumus un sasniedzamos rezultativitātes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regulējumu atbilstoši likumā lietotajiem terminiem un to skaidrojumam. Vēršam uzmanību, ka sporta organizācijas sevī ietver sporta klubus. Attiecīgi lūdzam precizēt attiecīgo normu un pārskatīt visu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w:t>
            </w:r>
            <w:r w:rsidR="00000000" w:rsidRPr="00000000" w:rsidDel="00000000">
              <w:rPr>
                <w:u w:val="single"/>
                <w:rtl w:val="0"/>
              </w:rPr>
              <w:t xml:space="preserve">Ministru kabinets ārējo normatīvo aktu var izdot tikai tādā gadījumā, ja likumdevējs likumā formulējis pilnvarojumu šāda akta izdošanai un noteicis pilnvarojuma robežas</w:t>
            </w:r>
            <w:r w:rsidR="00000000" w:rsidRPr="00000000" w:rsidDel="00000000">
              <w:rPr>
                <w:rtl w:val="0"/>
              </w:rPr>
              <w:t xml:space="preserve"> </w:t>
            </w:r>
            <w:r w:rsidR="00000000" w:rsidRPr="00000000" w:rsidDel="00000000">
              <w:rPr>
                <w:i w:val="1"/>
                <w:rtl w:val="0"/>
              </w:rPr>
              <w:t xml:space="preserve">(skat. Satversmes tiesas 2017. gada 29. jūnija sprieduma lietā Nr. 2016-23-03 16. punktu)</w:t>
            </w:r>
            <w:r w:rsidR="00000000" w:rsidRPr="00000000" w:rsidDel="00000000">
              <w:rPr>
                <w:rtl w:val="0"/>
              </w:rPr>
              <w:t xml:space="preserve">. Turklāt </w:t>
            </w:r>
            <w:r w:rsidR="00000000" w:rsidRPr="00000000" w:rsidDel="00000000">
              <w:rPr>
                <w:u w:val="single"/>
                <w:rtl w:val="0"/>
              </w:rPr>
              <w:t xml:space="preserve">Ministru kabineta noteikumu saturam jāatbilst likumdevēja noteiktajam pilnvarojumam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Jēdziens "kārtība" nozīmē norises īstenošanas veidu vai darbības organizāciju</w:t>
            </w:r>
            <w:r w:rsidR="00000000" w:rsidRPr="00000000" w:rsidDel="00000000">
              <w:rPr>
                <w:rtl w:val="0"/>
              </w:rPr>
              <w:t xml:space="preserve"> (</w:t>
            </w:r>
            <w:r w:rsidR="00000000" w:rsidRPr="00000000" w:rsidDel="00000000">
              <w:rPr>
                <w:i w:val="1"/>
                <w:rtl w:val="0"/>
              </w:rPr>
              <w:t xml:space="preserve">skat., piemēram, Satversmes tiesas 2012. gada 2. maija sprieduma lietā Nr. 2011-17-03 13.3. apakšpunktu)</w:t>
            </w:r>
            <w:r w:rsidR="00000000" w:rsidRPr="00000000" w:rsidDel="00000000">
              <w:rPr>
                <w:rtl w:val="0"/>
              </w:rPr>
              <w:t xml:space="preserve">. </w:t>
            </w:r>
            <w:r w:rsidR="00000000" w:rsidRPr="00000000" w:rsidDel="00000000">
              <w:rPr>
                <w:u w:val="single"/>
                <w:rtl w:val="0"/>
              </w:rPr>
              <w:t xml:space="preserve">Atsevišķos gadījumos Ministru kabineta noteikumu saturu var veidot arī materiālās normas, taču tām jābūt pieņemtām, pamatojoties uz nepārprotamu likumdevēja pilnvarojumu</w:t>
            </w:r>
            <w:r w:rsidR="00000000" w:rsidRPr="00000000" w:rsidDel="00000000">
              <w:rPr>
                <w:rtl w:val="0"/>
              </w:rPr>
              <w:t xml:space="preserve"> </w:t>
            </w:r>
            <w:r w:rsidR="00000000" w:rsidRPr="00000000" w:rsidDel="00000000">
              <w:rPr>
                <w:i w:val="1"/>
                <w:rtl w:val="0"/>
              </w:rPr>
              <w:t xml:space="preserve">(skat., piemēram, Satversmes tiesas 2018. gada 18. oktobra sprieduma lietā Nr. 2017-33-03 14.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Valsts iestāžu juridisko dienestu vadītāju 2020. gada 22. oktobra sanāksmes protokola Nr. 2 1. § 2.1. apakšpunktā ir norādīts, ka, </w:t>
            </w:r>
            <w:r w:rsidR="00000000" w:rsidRPr="00000000" w:rsidDel="00000000">
              <w:rPr>
                <w:u w:val="single"/>
                <w:rtl w:val="0"/>
              </w:rPr>
              <w:t xml:space="preserve">izstrādājot jaunu pilnvarojumu, savlaicīgi izsvērt nākotnes regulējuma saturu un gadījumā, ja uz pilnvarojuma pamata būs jāizdod arī materiāla rakstura tiesību normas, – izvairīties pilnvarojumā lietot vārdu "kārtība" vai papildināt pilnvarojumu ar vārdiem atbilstoši pilnvarojuma mērķim (piemēram, "Ministru kabinets nosaka kārtību un kritērijus [..]"), lai neradītu šaubas par pilnvarojuma apjomu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iestāžu juridisko dienestu vadītāju 2020. gada 22. oktobra sanāksmes protokola Nr. 2 1. § 2.2. apakšpunktam </w:t>
            </w:r>
            <w:r w:rsidR="00000000" w:rsidRPr="00000000" w:rsidDel="00000000">
              <w:rPr>
                <w:u w:val="single"/>
                <w:rtl w:val="0"/>
              </w:rPr>
              <w:t xml:space="preserve">pilnvarojošā norma – "noteikt kārtību" – neizslēdz Ministru kabinetam tiesības pieņemt materiāla rakstura normas, ja tās atbilst likuma mērķim un citiem Latvijas Republikas Satversmes un demokrātiskas valsts pamatprincipiem un neveido jaunas, pilnvarojumā neparedzētas tiesiskās attiecības. Vienlaicīgi nepieciešams gūt pārliecību (no tiesību akta anotācijas, Latvijas Republikas Saeimas sēžu stenogrammas, Latvijas Republikas Saeimas komisiju protokoliem, priekšlikumu vēstulēm vai citiem materiāliem), ka likumdevējs, pilnvarojot Ministru kabinetu "noteikt kārtību", ir vēlējies uzdot izstrādāt ne tikai procesuāla rakstura normas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Administratīvā procesa likuma 11. pants noteic, ka </w:t>
            </w:r>
            <w:r w:rsidR="00000000" w:rsidRPr="00000000" w:rsidDel="00000000">
              <w:rPr>
                <w:u w:val="single"/>
                <w:rtl w:val="0"/>
              </w:rPr>
              <w:t xml:space="preserve">privātpersonai nelabvēlīgu administratīvo aktu izdot vai faktisku rīcību veikt iestāde var uz Latvijas Republikas Satversmes, likuma, kā arī uz starptautisko tiesību normas pamata. Ministru kabineta noteikumi vai pašvaldību saistošie noteikumi var būt par pamatu šādam administratīvajam aktam vai faktiskai rīcībai tikai tad, ja Latvijas Republikas Satversmē, likumā vai starptautisko tiesību normā tieši vai netieši ir ietverts pilnvarojums Ministru kabinetam, izdodot noteikumus, vai pašvaldībām, izdodot saistošos noteikumus, tajos paredzēt šādus administratīvos aktus vai faktisko rīcību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likumprojekta 7. panta otrajā daļā ietvertos pilnvarojumus Ministru kabinetam un attiecīgi precizēt tos, kā arī papildināt anotācijas 4. sadaļu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sporta reģistra darbību un finansēšanas kārtību, iekļaujamās informācijas saturu un tās aktualizēšanas kārtību, apstrādājamo datu veidus un apjomu, kā arī datu glabāšanas termiņus un apstrādes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deleģējumu Ministru kabinetam noteikt arī iestādes, kuras sniedz datus Sporta reģistram un saņem datus no Sporta reģistra, un kādā nolūkā. Iepazīstoties ar anotāciju, secināms, ka Sporta reģistrā no Valsts izglītības informācijas sistēmas tiks iegūti dati par bērniem un jauniešiem, kuri mācās profesionālās ievirzes sporta izglītības  programmās un interešu izglītības programmās, lai nodrošinātu nepieciešamo informāciju par veicamajām veselības pārbaudēm, efektīvu un caurspīdīgu valsts finansējuma piešķiršanas kārtību un finanšu līdzekļu pārvaldību, tostarp apkopšanu, uzkrāšanu un analīzi. Ņemot vērā, ka personas datu nosūtīšana arī ir uzskatāma par personas tiesību uz datu aizsardzību ierobežojumu, likumdevēja pilnvarojumam Ministru kabinetu noregulēt personas pamattiesību īstenošanas kārtību vai ierobežojumus šo tiesību īstenošanai, ir jābūt skaidrai un precīzai.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var slēgt deleģēšanas un līdzdarbības līgumus Valsts pārvaldes iekārtas likumā noteiktajā kārtībā ar privāto vai publisko tiesību subjektu: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Valsts pārvaldes iekārtas likuma 40. panta pirmā daļa noteic, ka </w:t>
            </w:r>
            <w:r w:rsidR="00000000" w:rsidRPr="00000000" w:rsidDel="00000000">
              <w:rPr>
                <w:u w:val="single"/>
                <w:rtl w:val="0"/>
              </w:rPr>
              <w:t xml:space="preserve">publiska persona var deleģēt privātpersonai un citai publiskai personai pārvaldes uzdevumu, ja pilnvarotā persona attiecīgo uzdevumu var veikt efektīvāk</w:t>
            </w:r>
            <w:r w:rsidR="00000000" w:rsidRPr="00000000" w:rsidDel="00000000">
              <w:rPr>
                <w:rtl w:val="0"/>
              </w:rPr>
              <w:t xml:space="preserve">. Atbilstoši Valsts pārvaldes iekārtas likuma 40. panta otrajā un trešajā daļā noteiktajam </w:t>
            </w:r>
            <w:r w:rsidR="00000000" w:rsidRPr="00000000" w:rsidDel="00000000">
              <w:rPr>
                <w:u w:val="single"/>
                <w:rtl w:val="0"/>
              </w:rPr>
              <w:t xml:space="preserve">privātpersonai pārvaldes uzdevumu var deleģēt ar ārēju normatīvo aktu vai līgumu, ja tas paredzēts ārējā normatīvajā aktā</w:t>
            </w:r>
            <w:r w:rsidR="00000000" w:rsidRPr="00000000" w:rsidDel="00000000">
              <w:rPr>
                <w:rtl w:val="0"/>
              </w:rPr>
              <w:t xml:space="preserve">, ievērojot šā likuma 41. panta otrās un trešās daļas noteikumus. </w:t>
            </w:r>
            <w:r w:rsidR="00000000" w:rsidRPr="00000000" w:rsidDel="00000000">
              <w:rPr>
                <w:u w:val="single"/>
                <w:rtl w:val="0"/>
              </w:rPr>
              <w:t xml:space="preserve">Citai publiskai personai pārvaldes uzdevumu var deleģēt likumā noteiktajos gadījumos. Šādā gadījumā piemērojami šīs nodaļas noteikumi, ciktāl citu likumu speciālajās tiesību normās nav noteikts citādi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49. panta pirmā daļa noteic, ka</w:t>
            </w:r>
            <w:r w:rsidR="00000000" w:rsidRPr="00000000" w:rsidDel="00000000">
              <w:rPr>
                <w:u w:val="single"/>
                <w:rtl w:val="0"/>
              </w:rPr>
              <w:t xml:space="preserve"> privātpersonu ar ārēju normatīvo aktu vai līdzdarbības līgumu (50. pants) var pilnvarot veikt pārvaldes uzdevumu, kurš neietver pārvaldes lēmuma pieņemšanu vai sagatavošanu</w:t>
            </w:r>
            <w:r w:rsidR="00000000" w:rsidRPr="00000000" w:rsidDel="00000000">
              <w:rPr>
                <w:rtl w:val="0"/>
              </w:rPr>
              <w:t xml:space="preserve">. Savukārt 54. panta ceturtā un piektā daļa noteic, ka </w:t>
            </w:r>
            <w:r w:rsidR="00000000" w:rsidRPr="00000000" w:rsidDel="00000000">
              <w:rPr>
                <w:u w:val="single"/>
                <w:rtl w:val="0"/>
              </w:rPr>
              <w:t xml:space="preserve">iestādes var sadarboties gan atsevišķā gadījumā, gan pastāvīgi. Sadarbojoties pastāvīgi, iestādes var slēgt starpresoru vienošanos</w:t>
            </w:r>
            <w:r w:rsidR="00000000" w:rsidRPr="00000000" w:rsidDel="00000000">
              <w:rPr>
                <w:rtl w:val="0"/>
              </w:rPr>
              <w:t xml:space="preserve"> (58.-60. pants). </w:t>
            </w:r>
            <w:r w:rsidR="00000000" w:rsidRPr="00000000" w:rsidDel="00000000">
              <w:rPr>
                <w:u w:val="single"/>
                <w:rtl w:val="0"/>
              </w:rPr>
              <w:t xml:space="preserve">Publiskas personas sadarbojoties var slēgt sadarbības līgumu</w:t>
            </w:r>
            <w:r w:rsidR="00000000" w:rsidRPr="00000000" w:rsidDel="00000000">
              <w:rPr>
                <w:rtl w:val="0"/>
              </w:rPr>
              <w:t xml:space="preserve"> (61.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8. panta otrās daļas 4. punktā paredzēto regulējumu un precizēt to, kā arī precizēt anotācijā ietverto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Tiešās pārvaldes iestādes kompetence sporta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pārejas noteikumu 3. punkts paredz, ka Ministru kabinets līdz 2026. gada 1. novembrim izdod šā likuma 10. pantā minētos noteikumus, lūdzam izvērtēt likumprojekta 10. pantā minēt konkrētu iestādes nosaukumu pēc analoģijas pārējam regulējumam, nevis minēt, ka tā ir Izglītības un zinātnes ministrijas padotībā esoša tiešās pārvaldes iestāde sporta un jaunatnes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zinātnes ministrijas padotībā esoša tiešās pārvaldes iestāde sporta un jaunatnes jomā, kuras darbību nosaka Ministru kabineta apstiprināts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47. punkts noteic, </w:t>
            </w:r>
            <w:r w:rsidR="00000000" w:rsidRPr="00000000" w:rsidDel="00000000">
              <w:rPr>
                <w:u w:val="single"/>
                <w:rtl w:val="0"/>
              </w:rPr>
              <w:t xml:space="preserve">kā izstrādā pilnvarojumu Ministru kabinetam izdot ārēju normatīvo aktu</w:t>
            </w:r>
            <w:r w:rsidR="00000000" w:rsidRPr="00000000" w:rsidDel="00000000">
              <w:rPr>
                <w:rtl w:val="0"/>
              </w:rPr>
              <w:t xml:space="preserve">. Vienlaikus vēršam uzmanību uz to, ka Ministru kabineta 2009. gada 3. februāra noteikumu Nr. 108 "Normatīvo aktu projektu sagatavošanas noteikumi" 62. punktā noteiktajam likumprojektā neietver atsauces uz zemāka juridiskā spēka normatīvo aktu, kā arī uz normatīvo aktu, kas vēl nav stājies spēkā. Atsauce var norādīt uz normatīvo aktu, kas vēl nav stājies spēkā, ja tas stāsies spēkā pirms likumprojekta stāšanās spēkā vai vienlaikus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likumprojekta 10. panta ievaddaļā un pārejas noteikumu 3. punktā paredzēto regulējumu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noteiktajā kārtība piešķirt finansējumu kapitālsabiedrībām neatkarīgi no to juridiskā statusa un nodrošināt tās ar nepieciešamo aprīkojumu;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2.6. apakšnodaļa noteic, </w:t>
            </w:r>
            <w:r w:rsidR="00000000" w:rsidRPr="00000000" w:rsidDel="00000000">
              <w:rPr>
                <w:u w:val="single"/>
                <w:rtl w:val="0"/>
              </w:rPr>
              <w:t xml:space="preserve">kā izstrādā pilnvarojumu pašvaldību domei izdot saistošos noteikumus</w:t>
            </w:r>
            <w:r w:rsidR="00000000" w:rsidRPr="00000000" w:rsidDel="00000000">
              <w:rPr>
                <w:rtl w:val="0"/>
              </w:rPr>
              <w:t xml:space="preserve">. Vienlaikus vēršam uzmanību uz to, ka Ministru kabineta 2009. gada 3. februāra noteikumu Nr. 108 "Normatīvo aktu projektu sagatavošanas noteikumi" 62. punktā noteiktajam </w:t>
            </w:r>
            <w:r w:rsidR="00000000" w:rsidRPr="00000000" w:rsidDel="00000000">
              <w:rPr>
                <w:u w:val="single"/>
                <w:rtl w:val="0"/>
              </w:rPr>
              <w:t xml:space="preserve">likumprojektā neietver atsauces uz zemāka juridiskā spēka normatīvo aktu</w:t>
            </w:r>
            <w:r w:rsidR="00000000" w:rsidRPr="00000000" w:rsidDel="00000000">
              <w:rPr>
                <w:rtl w:val="0"/>
              </w:rPr>
              <w:t xml:space="preserve">, kā arī uz normatīvo aktu, kas vēl nav stājies spēkā. Atsauce var norādīt uz normatīvo aktu, kas vēl nav stājies spēkā, ja tas stāsies spēkā pirms likumprojekta stāšanās spēkā vai vienlaikus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likumprojekta 12. panta pirmās daļas 3. punktā un otrajā daļā, kā arī 23. panta otrajā un trešajā daļā paredzēto regulējumu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pašvaldību, izglītības iestādēm un sporta organizācijām ir pienākums regulāri, savlaicīgi un kvalitatīvi ievadīt vai aktualizēt nepieciešamo informāciju Sporta reģistrā. Informāciju Sporta reģistrā iekļauj valsts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lietot vienotu terminoloģiju likumprojekta ietvaros, jo šajā normā ir lietots vārdu salikums "valsts un pašvaldību iestādes", savukārt citur vārdu salikums "valsts un pašvaldību institūcijas". Ierosinām pārskatīt arī citu terminu lietojumu, lai tas būtu vienveidīgs.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sacensības ir Latvijā atzītās sporta federācijas sacensību kalendārā iekļautās un organizētās sacensības, valsts čempionāti un kausa izcīņas jauniešiem, junioriem un pieaugušajiem, kas paredzētas labākā sporta veida sportista vai komandas noteikšanai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valsts sacensību skaidrojumu ietvert likumprojekta 1.pantā.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 un apstiprina ikgadējo dopinga kontroļu analīžu plānu un ikgadējo pārbaudāmo sportistu reģistru, kā arī ir tiesīgs veidot citus reģistrus, kas satur informāciju par sportistiem dopinga kontroļu plānošanas un veikšanas nolūkos, tai skaitā par sportistu atrašanās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termins "atrašanās vieta" var tikt dažādi interpretēts, piemēram, kā norādītā dzīvesvietas adrese, deklarētā dzīvesvietas adrese, valsts, fakts, ka personas atrodas kādā iestādē u.tt., kā arī to, ka tikai likumdevējs var noteikt personas tiesību uz personas datu aizsardzību ierobežojumu un tā apjomu, lūdzam precizēt likumprojektu, skaidri nosakot, kādu kategoriju datus par sportistiem plānots apstrādāt reģistros.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Sportists vai sporta darbinieks sūdzības par šā panta pirmās daļas 2., 4., 5. un 7. punktā minētajiem Latvijas Antidopinga biroja pasākumiem var iesniegt starptautiskajā Sporta arbitrāžas tiesā vai Pasaules Antidopinga aģentūrā atbilstoši antidopinga konvenciju noteikumiem vai Nacionālajiem antidopinga noteikumiem. Sportists vai sporta darbinieks sūdzību par šā panta pirmās daļas 6. punktā minēto lēmumu var iesniegt izskatīšanai Disciplinārajā antidopinga komisijā. Disciplinārās antidopinga komisijas pieņemto lēmumu sportists vai sporta darbinieks ir tiesīgs pārsūdzēt Pārsūdzības komisijā vai starptautiskajā Sporta arbitrāžas tiesā, ja pārkāpums ir saistīts ar starptautiska līmeņa sportistu (sportists, kas piedalās starptautiskās sporta sacensībās) vai tā dalību starptautiskā sporta pasākumā, kā to noteikušas starptautiskās organizācijas atbilstoši antidopinga konvenciju noteikumiem vai Nacionālajiem antidopinga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likumprojekta 25. panta trešajā daļā ietvertas korektas iekšējās atsauces uz citām panta apakšvienībām (sk. salīdzinājumam atsauces pašreiz spēkā esošā Sporta likuma 11.</w:t>
            </w:r>
            <w:r w:rsidR="00000000" w:rsidRPr="00000000" w:rsidDel="00000000">
              <w:rPr>
                <w:vertAlign w:val="superscript"/>
                <w:rtl w:val="0"/>
              </w:rPr>
              <w:t xml:space="preserve">2</w:t>
            </w:r>
            <w:r w:rsidR="00000000" w:rsidRPr="00000000" w:rsidDel="00000000">
              <w:rPr>
                <w:rtl w:val="0"/>
              </w:rPr>
              <w:t xml:space="preserve"> panta trešo daļu). Līdzīgi aicinām izvērtēt arī citas likumprojekta vienības (piemēram, 26.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kabinets nosaka kārtību un termiņus, kādos Latvijas Antidopinga birojs vēršas Disciplinārajā antidopinga komisijā, un kārtību un termiņus, kādos Disciplinārā antidopinga komisija izskata iespējamos antidopinga noteikumu pārkāpumus un pieņem par tiem lēmumus.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deleģējumu Ministru kabinetam noteikt personas datu apstrādes nosacījumus, tajā skaitā datu veidus, ko apstrādās Disciplinārās antidopinga komisija. Minētais priekšlikums attiecināms arī uz likumprojekta 27. panta astoto daļu un 28. panta piekto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Manipulācija ar sporta sacensībām ir aizliegta. Manipulācija ar sporta sacensībām ir jebkāda tīša vienošanās, darbība vai bezdarbība, kuras mērķis ir nepieņemamas izmaiņas sacensību rezultātos vai to gaitā, lai pilnībā vai daļēji novērstu sacensību neparedzamību, un vērsta uz sporta sacensību gaitas vai rezultāta nelikumīgu ietekmēšanu.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likumprojekta 32. panta pirmās daļas otro teikumu iekļaut likumprojekta 1. pantā, kā lietotā termina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5.panta piektajā daļā, 8.panta otrās daļas ceturtajā punktā, 15., 16., 19. un 20.pantā</w:t>
            </w:r>
            <w:r w:rsidR="00000000" w:rsidRPr="00000000" w:rsidDel="00000000">
              <w:rPr>
                <w:b w:val="1"/>
                <w:rtl w:val="0"/>
              </w:rPr>
              <w:t xml:space="preserve"> </w:t>
            </w:r>
            <w:r w:rsidR="00000000" w:rsidRPr="00000000" w:rsidDel="00000000">
              <w:rPr>
                <w:rtl w:val="0"/>
              </w:rPr>
              <w:t xml:space="preserve">minētās sporta organizācijas, deleģēto valsts pārvaldes uzdevumu privāto un publisko tiesību subjekta izpildinstitūcijas locekļa amatu nedrīkst ieņemt persona, kura ir ārvalstu valsts drošības dienestu, izlūkdienestu vai pretizlūkošanas dienestu štata darbinieks un kura ir bijusi LPSR Valsts drošības komitejas darbinieks vai informators likuma "Par bijušās Valsts drošības komitejas dokumentu saglabāšanu, izmantošanu un personu sadarbības fakta ar VDK konstatēšanu"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likumprojekta 5. panta piektā daļa noteic, ka augstākās izglītības iestāde atbalsta sportu, veicina augstākās izglītības ieguves un sportista karjeras apvienošanu duālās karjeras ietvarā, lūdzam izvērtēt likumprojekta 35. panta otrajā un trešajā daļā ietverto atsauci uz likumprojekta 5. panta piektā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likuma 13.pants stājas spēkā vienlaikus ar Valsts sporta fonda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konkrētu termiņu likumprojekta pārejas noteikumu 5. un 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apakšsadaļā ietverto informāciju, norādot likumprojekta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norādīts: "Likumprojekta 32. pantā ir noteikta manipulācijas ar sporta sacensībām definīcija, tā ir jebkāda tīša vienošanās, darbība vai bezdarbība, kuras mērķis ir nepieņemamas izmaiņas sacensību rezultātos vai to gaitā, lai pilnībā vai daļēji novērstu sacensību neparedzamību, un vērsta uz sporta sacensību gaitas vai rezultāta nelikumīgu ietekmēšanu. Par šādu nodarījumu atbildība ir noteikta Krimināllikuma (KL) 212.1 pantā „Manipulācijas ar sporta sacensībām” ir paredzēta atbildība par manipulācijām ar sporta sacensībām, jo KL 211. un 212. pants attiecas uz negodīgu konkurenci komercdarbībā, savukārt šīs darbības saistītas ar negodīgu konkurenci sportā, jo tiek ietekmēts to sporta komandu vai individuālo sportistu stāvoklis rangā vai turnīru tabulā, kas nav iesaistīti šādās manipulācijās."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atkāpi precizēt gramatiski, kā arī ierosinām izslēgt palīgteikumu par KL 211. un 212. pantā paredzētajiem noziedzīgajiem nodarījumiem.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Popova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4.1. apakšsadaļā ietverto informāciju, jo, piemēram, likumprojekta 21. un 22. pantā nav astotās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jo attiecīgais apakšpunkts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minēto informāciju, jo nav saprotams, par kādu vienotu informācijas sistēmas izveidi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jo attiecīgais apakšpunkts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10.06.2025. 08.53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10.06.2025. 08.53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