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Izteikt 27.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cietajai koksnes biomasai, ko izmanto enerģētikā (šķelda, skaida, granulas, briketes, apaļkoks utt.) jau šobrīd "Koksnes regula" (995/2010 - EN - EU Timber Regulation) un sākot ar 2025.gada 30. decembri Atmežošanas regula (Regulation (EU) 2023/1115) prasa pilnu izsekojamību un risku izvērtējumu, būtu napamatoti uzdot izveidot un uzturēt papildus vēl vienu izsekojamības un risku novērtēšanas sistēmu jeb 27.punkta redakcijā noteikto masas bilances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meža produktiem, piemēram meža šķeldai un malkas koksnei, kurināmā piegādātāji kurināmā izcelsmi pierāda gan ar ciršanas apliecinājumu, gan ar ārpus meža nocirstās koksnes apliecinājumu, kuros abos norādīti izstrādātās cirsmas kadastra numuri, un cirsmas pirkuma līgumu. Savukārt koksnes enerģētikas produktiem, kas ražoti no meža produktiem, piemēram granulas un ražošanas procesos radušie blakusprodukti - šķelda un skaida, jau šobrīd izsekojamība tiek nodrošināta atbilstoši Koksnes regulas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27.7.,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"Masas bilances sistēma atbilstoši apakšpunktiem 27.1. - 27.6. nav jāveido tiem biomasas enerģētikas produktiem, kuru izsekojamība tiek veikta atbilstoši  Regulai 995/2010  vai Regulai 2023/1115."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21.10.2024.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21.10.2024.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