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valodas politikas pamatnostādņu 2021. - 2027. gadam īstenošanas plāns 2024. - 2027.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dzēst 3.3.1.2. punkta 2. teikumu "Uzraudzības rezultātā administratīvo pārkāpumu īpatsvars nepārsniedz 15% no veikto pārbaužu skaita gadā", jeb paplašināti skaidrot vai nosakot šādu rezultatīvo rādītāju netiek radīts risks nesaglabāt vienlīdzīgu attieksmi pret subjektiem, kā piemēram - pret personām, kas faktiski veic vienādu administratīvo pārkāpumu, taču to pārkāpuma izdarīšanas brīdis ir pirms vai pēc 15% atzīmes no veikto pārbaužu skaita gadā sasniegšanas.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valodas politikas pamatnostādņu 2021. - 2027. gadam īstenošanas plāns 2024. - 2027.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skaidrot plašāk, kādu darbību rezultātā tiek sasniegts plāna 1.5.2.5. punkta 4. apakšpunktā norādītais rezultatīvais rādītājs - nodrošināt lībiešu valodas lietojumu tajā skaitā uzņēmumu mājas lapās, priekšlikums skaidrot uzņēmēju iesaisti šī rādītāja sasniegšanas nodrošināšanā.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18.03.2024.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18.03.2024.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