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individuālo mācību kontu pieejas attīstību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fonds)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daļas par individuālo mācību kontu pieejas aprobāciju (turpmāk – individuālo mācību kontu pieejas aprobācija) mērķi un aprobācijas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100.2. apakšpunktu, lūdzam noteikumu projekta 1. punktā rakstīt (pārrakstīt)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ietverto pilnvarojumu, atbilstoši precizējot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darbību īstenošana tiek uzsākta 2023.gada 1.jūlijā. Iniciatīvas darbības īsteno līdz 2026.gada 31.maijam.  Iniciatīvas ietvaros  nedrīkst būt iekļautas darbības, kas pabeigtas līdz finansējuma saņēmēja vienošanās noslēgšanas dienai 2024. gada 6. oktobrim ar Centrālo finanšu un līgumu aģentūru.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9. punktā u.c. norādīt, par kādu investīciju ir runa, nepieciešamības gadījumā atbilstoši juridiskās tehnikas prasībām konsekventi ievērojot iepriekš atrunāto saīsinājumu. Kā arī lūdzam nodrošināt, ka no noteikumu projekta nepārprotami izriet, vai attiecīgā investīcija ar noteikumu projektu tiek īstenota pilnībā vai daļēji.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darbību īstenošana tiek uzsākta 2023.gada 1.jūlijā. Iniciatīvas darbības īsteno līdz 2026.gada 31.maijam.  Iniciatīvas ietvaros  nedrīkst būt iekļautas darbības, kas pabeigtas līdz finansējuma saņēmēja vienošanās noslēgšanas dienai 2024. gada 6. oktobrim ar Centrālo finanšu un līgumu aģentūru.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9. punktu, norādot datumu, līdz kuram darbību īstenošana var tikt uzsākta, nevis tiek uzsākta, jo Latvijas tiesību sistēmā nav piemērojamas tiesību normas ar atpakaļejošu spēku. Kā arī lūdzam izvērtēt un nepieciešamības gadījumā svītrot datumu - 2024. gada 6. oktobri, jo no noteikumu projekta un tā anotācijas neizriet nav, kādēļ līgumam jābūt noslēgtam tieši minētajā datumā un, kādēļ tas nevar tikt noslēgts līdz minētajam datumam.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īsteno investīciju, kas nav saistīts ar saimnieciskās darbības veikšanu un sadarbības partneri īsteno projektu, kas nav saistīts ar saimnieciskās darbības veikšanu vai nav kvalificējams kā komercdarbības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11. punktu, jo konkrētā norma ir deklaratīva un tai nav juridiskas slodzes (nepieciešamības gadījumā izvirzāmas konkrētas prasības, kuras nodrošina, ka sniegtas atbalsts nekvalificējas kā komercdarbības atbalsts). Vienlaikus norādām, ka minētā noteikumu projekta norma neatbilst juridiskās tehnikas prasībām, jo no tās neizriet, kas tieši nav saistīts ar saimnieciskās darbības veikšanu, kas ir domāts ar projektu un vai tas atšķiras no finansējuma saņēmēja īstenotās investīcijas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 2.3.1.4.i. ir noteikta kā stratēģiski svarīgs projekts, līdz ar to informācijas un publicitātes pasākumi, ir jānodrošina atbilstoši stratēģiski svarīgam projektam.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12. punktu, jo Atveseļošanas un noturības mehānisma plāna sastāvdaļa (investīcija 2.3.1.4.i.) nav projekts, kā arī lūdzam minētajā punktā skaidrot, atbilstoši kādam ārējam normatīvajam aktam nodrošināmi informācijas un publicitātes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Individuālo mācību kontu pieejas aprobācijas ietvaros izglītības programmas tiek nodrošinātas digitālo prasmju apguvei atbilstoši Eiropas Digitālo kompetenču pilsoņiem ietvaram (The Digital Competence Framework for Citizens; turpmāk – DigComp).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13. punktā minēto Eiropas Digitālo kompetenču pilsoņiem ietvaru saturu un saistošo spēku attiecībā uz privātpersonām. Nepieciešamības gadījumā lūdzam minēto punktu svītrot, ņemot vērā, ka atbilstoši Latvijas Republikas Satversmes 90. pantam normatīvajā aktā noteikta personas pienākuma saturam ir jābūt nepārprotami skaidram. Līdzīgi lūdzam skaidrot noteikumu projekta 37. punktā minēto vienkāršotās vienas vienības izmaksu standarta likmes piemērošanas metodikas u.c. tamlīdzīgu noteikumu projektā minēto dokumentu (tostarp metodiku) saturu un saistošo spēku attiecībā uz privātpersonām.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Individuālo mācību kontu pieejas aprobācijas ietvaros atbalsts nodrošināms šādu izglītības programmu apguvei: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15. punktā konkretizēt, kādas tieši izmaksas ir attiecināmas izglītības programmu apguvei vai precizēt 15. punkta redakciju, norādot, ka individuālo mācību kontu pieejas aprobācijas ietvaros atbalstāmas konkrētas darbības, jo šobrīd no noteikumu projekta 16. punkta izriet, ka 15. punktā minētas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nodrošina, ka normatīvajos aktos par Atveseļošanas fonda plāna īstenošanas un uzraudzības kārtību un Eiropas Parlamenta un Padomes 2021. gada 12. februāra Regulas (ES) Nr. 2021/241, ar ko izveido Atveseļošanas un noturības mehānismu (turpmāk – regula Nr. 2021/241), 22. panta 2. punkta "e" apakšpunktā minētajām institūcijām projekta īstenošanas laikā nodrošina ar projekta īstenošanu saistītās dokumentācijas uzglabāšanu līdz 2031. gada 31. decembrim - noteiktajā dokumentu glabāšanas termiņā ir pieejami visi ar projekta īstenošanu saistītie dokumentu oriģināli un grāmatvedības sistēmas dati. Dokumentu un datu pieejamība tiek nodrošināta vadības informācijas sistēmā vai pie finansējuma saņēmēja. Ja dokumenti un dati ir pieejami tikai pie finansējuma saņēmēja, nodrošina to iesniegšanu institūcijā, kas atbilstoši normatīvajos aktos par Atveseļošanas fonda plāna īstenošanas un uzraudzības kārtību noteiktajai kompetencei tos pieprasa, kā arī, ja nepieciešams, nodrošina informācijas pieejamību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20.7. apakšpunkta pirmo teikumu, nodrošinot juridiskās tehnikas prasībām atbilstošu regulējumu, nepieciešamības gadījumā attiecīgo regulējumu dalot daļās un atsevišķi norādot, kāda informācija un kādā termiņā ir uzglabājama un kādām institūcijām tā ir jādara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Dokumentu un informācijas pieejamība tiek nodrošināta vadības informācijas sistēmā vai pie finansējuma saņēmēja. Finansējuma saņēmējs nodrošina dokumentu un informācijas pieejamību normatīvajos aktos par Atveseļošanas fonda plāna īstenošanas un uzraudzības kārtību un Eiropas Parlamenta un Padomes 2021. gada 12. februāra Regulas (ES) Nr. 2021/241, ar ko izveido Atveseļošanas un noturības mehānismu (turpmāk – regula Nr. 2021/241), 22. panta 2. punkta "e" apakšpunktā minētajām institūcijām projekta īstenošanas laikā nodrošina,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nodrošina, ka normatīvajos aktos par Atveseļošanas fonda plāna īstenošanas un uzraudzības kārtību un Eiropas Parlamenta un Padomes 2021. gada 12. februāra Regulas (ES) Nr. 2021/241, ar ko izveido Atveseļošanas un noturības mehānismu (turpmāk – regula Nr. 2021/241), 22. panta 2. punkta "e" apakšpunktā minētajām institūcijām projekta īstenošanas laikā nodrošina ar projekta īstenošanu saistītās dokumentācijas uzglabāšanu līdz 2031. gada 31. decembrim - noteiktajā dokumentu glabāšanas termiņā ir pieejami visi ar projekta īstenošanu saistītie dokumentu oriģināli un grāmatvedības sistēmas dati. Dokumentu un datu pieejamība tiek nodrošināta vadības informācijas sistēmā vai pie finansējuma saņēmēja. Ja dokumenti un dati ir pieejami tikai pie finansējuma saņēmēja, nodrošina to iesniegšanu institūcijā, kas atbilstoši normatīvajos aktos par Atveseļošanas fonda plāna īstenošanas un uzraudzības kārtību noteiktajai kompetencei tos pieprasa, kā arī, ja nepieciešams, nodrošina informācijas pieejamību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20.7. apakšpunktā nedublēt noteikumu projekta 20.6. apakšpunktā ietverto regulējumu attiecībā uz dokumentu glabāšanas pienākumu, atbilstoši precizējot 20.7.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Individuālo mācību kontu pieejas aprobācijas ietvaros finansējuma piešķiršanas nosacījumi personas izvēlētajai izglītības programmai un atbalsta pasākumiem atbilstoši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noteiktajiem finansējuma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punkta ievaddaļu, jo atbilstoši juridiskās tehnikas prasībām Ministru kabineta noteikumiem neveido punktu nosaukumus. Līdzīgi lūdzam precizēt (svītrojot attiecīgo punktu ievaddaļas) arī citas noteikumu projekta vienības, piemēram, 56. punktu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noteikto izglītības programmu apguvei izmaksas finansējamas 100 % apmērā, aizpildījusi individuālo mācību ceļu, izmantojot platformas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22.1. apakšpunktā svītrot vārdus "aizpildījusi individuālo mācību ceļu, izmantojot platformas funkcionalitāti" vai precizēt minēto apakšpunktu, jo no minētā apakšpunkta viennozīmīgi neizriet, kādos gadījumos finansējamas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var piešķirt, ja mēneša laikā ir saņemts personas iesniegums par nepieciešamo finanšu atbalstu transporta izdevumu segšanai iepriekšējā mēnesī, un finansējuma saņēmējs ir pieņēmis lēmumu par finanšu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(tostarp 32.1. un 33.2. apakšpunktā) norādīt konkrētus atskaites punktus termiņu aprēķināšanai (piemēram, termiņa "mēneša laikā"), tādējādi nodrošinot nepārprotamu attiecīgo normu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var piešķirt, ja mēneša laikā ir saņemts personas iesniegums par nepieciešamo finanšu atbalstu transporta izdevumu segšanai iepriekšējā mēnesī, un finansējuma saņēmējs ir pieņēmis lēmumu par finanšu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32.1. apakšpunktu, jo šobrīd sanāk, ka atbalstu var piešķirt, ja pieņem lēmumu par finanšu atbalsta piešķiršanu, proti, no minētā apakšpunkta neizriet, vai atbalsts ir obligāti piešķirams un vai ar finanšu atbalstu un atbalstu ir saprotams viens un tas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var ar lēmumu piešķirt, ja mēneša laikā ir saņemts personas iesniegums par nepieciešamo finanšu atbalstu transporta izdevumu segšanai iepriekšējā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izmaksā, ja personas finansējuma saņēmējam iesniedz izdevumus apliecinošus dokumentus par iepriekšējo mācību mēnesi (sabiedriskā transporta braukšanas biļetes vai degvielas izdevumus apliecinošus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32.2. apakšpunktā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var piešķirt, ja uz mācību pieteikuma brīdi izglītības iestāde vai prakses vieta atrodas vismaz 40 kilometru attālumā no nodarbinātās personas deklarētās dzīvesvietas;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33.1. apakšpunktu, jo šobrīd no minētās normas neizriet, kas ir domāts ar mācību pieteikuma brīdi (proti, pieteikuma iesniegšanas, saņemšanas brīdis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Kārtība kādā persona piesakās izglītības programmu apguvei un papildus atbalsta pakalpojumiem individuālo mācību kontu pieejas aprobācijas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tiesību normās balstītu skaidrojumu par noteikumu projekta 2. nodaļā (ciktāl šajā nodaļā paredzētas prasības subjektiem, kuri nav finansējuma saņēmēji, t.i., izglītības pakalpojumu sniedzējiem un izglītojamiem), kā arī 3. un 4. nodaļā ietvertā regulējuma atbilstību noteikumu projekta izdošanas tiesiskajam pamatam - likuma "Par budžetu un finanšu vadību 19.</w:t>
            </w:r>
            <w:r w:rsidR="00000000" w:rsidRPr="00000000" w:rsidDel="00000000">
              <w:rPr>
                <w:vertAlign w:val="superscript"/>
                <w:rtl w:val="0"/>
              </w:rPr>
              <w:t xml:space="preserve">3</w:t>
            </w:r>
            <w:r w:rsidR="00000000" w:rsidRPr="00000000" w:rsidDel="00000000">
              <w:rPr>
                <w:rtl w:val="0"/>
              </w:rPr>
              <w:t xml:space="preserve"> panta otrajai daļai, nepieciešamības gadījumā precizējot noteikumu projektu. Norādām, ka minētā norma paredz, ka Ministru kabinets nosaka Eiropas Atveseļošanas un noturības mehānisma ieviešanas un nacionālā ekonomikas atveseļošanas un noturības plāna īstenošanas un uzraudzības kārtību un nepieciešamās informācijas sistēmas izveides un izmantošanas kārtību, kā arī šā mehānisma ieviešanā iesaistīto institūciju tiesības pieprasīt un saņemt tiešu pieeju datiem valsts informācijas sistēmās tādā apjomā, kāds nepieciešams un kādā to paredz Ministru kabinets attiecīgo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tiesas 2011. gada 6. maija spriedums lietā Nr. 2010-57-03, 13.3.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Persona, kas individuālo mācību kontu pieejas aprobācijas ietvaros ir pieteikusies izglītības programmai un saņēmusi izglītības pakalpojuma sniedzēja apstiprinājumu par dalību izvēlētajā izglītības programmā, noslēdz mācību līgumu ar izglītības pakalpojuma sniedzēju. Personas un izglītības pakalpojuma sniedzēja pilnvarotās personas elektroniski ar drošu elektronisko parakstu, kas satur laika zīmogu, parakstīto mācību līgumu vai abu pušu parakstītā līguma papīra dokumenta elektronisko kopiju, izglītības pakalpojumu sniedzējs ievieto to pie mācību grupas dalībnieku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36. punktā konkretizēt, kur (kādā dokumentā vai informācijas sistēmā) ievietojama mācību grupas dalībnieku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Persona, kas individuālo mācību kontu pieejas aprobācijas ietvaros ir pieteikusies izglītības programmai un saņēmusi izglītības pakalpojuma sniedzēja apstiprinājumu par dalību izvēlētajā izglītības programmā, noslēdz mācību līgumu ar izglītības pakalpojuma sniedzēju. Personas un izglītības pakalpojuma sniedzēja pilnvarotās personas elektroniski ar drošu elektronisko parakstu, kas satur laika zīmogu, parakstīto mācību līgumu vai abu pušu parakstītā līguma papīra dokumenta elektronisko kopiju, izglītības pakalpojumu sniedzējs ievieto to pie mācību grupas dalībnieku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nedublējot normatīvos aktus par dokumentu juridisko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Persona, kas individuālo mācību kontu pieejas aprobācijas ietvaros ir pieteikusies izglītības programmai un saņēmusi izglītības pakalpojuma sniedzēja apstiprinājumu par dalību izvēlētajā izglītības programmā, noslēdz mācību līgumu ar izglītības pakalpojuma sniedzēju. Minētā līguma kopiju izglītības pakalpojumu sniedzējs ievieto pie mācību grupas dalībnieku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Izglītības pakalpojumu sniedzējam ir tiesības mācību līgumā paredzēt nosacījumus izglītības programmas apmaksai no personas personīgajiem līdzekļiem, proporcionāli neapgūtās izglītības programmas apmeklēto mācību stundu skaita izmaksām, kas noteikts piemērojot Vienas vienības izmaksu standarta likmes piemērošanas metodiku, kā arī izglītības pakalpojumu sniedzēja iekšējos kārtības noteikumos noteikto, ja persona pārtrauc izglītības programmas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juridiskās tehnikas prasībām svītrot noteikumu projekta 37., 38. punktā ietvertās atsauces uz iekšējiem tiesību aktiem - izglītības pakalpojumu sniedzēja iekšējās kārtības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Izglītības pakalpojuma sniedzējs platformā aizpilda pieteikumu, kurā norāda šo noteikumu </w:t>
            </w:r>
            <w:r w:rsidR="00000000" w:rsidRPr="00000000" w:rsidDel="00000000">
              <w:rPr>
                <w:rtl w:val="0"/>
              </w:rPr>
              <w:t xml:space="preserve">49.1.</w:t>
            </w:r>
            <w:r w:rsidR="00000000" w:rsidRPr="00000000" w:rsidDel="00000000">
              <w:rPr>
                <w:rtl w:val="0"/>
              </w:rPr>
              <w:t xml:space="preserve">, ,</w:t>
            </w:r>
            <w:r w:rsidR="00000000" w:rsidRPr="00000000" w:rsidDel="00000000">
              <w:rPr>
                <w:rtl w:val="0"/>
              </w:rPr>
              <w:t xml:space="preserve">49.2.</w:t>
            </w:r>
            <w:r w:rsidR="00000000" w:rsidRPr="00000000" w:rsidDel="00000000">
              <w:rPr>
                <w:rtl w:val="0"/>
              </w:rPr>
              <w:t xml:space="preserve"> </w:t>
            </w:r>
            <w:r w:rsidR="00000000" w:rsidRPr="00000000" w:rsidDel="00000000">
              <w:rPr>
                <w:rtl w:val="0"/>
              </w:rPr>
              <w:t xml:space="preserve">49.3.</w:t>
            </w:r>
            <w:r w:rsidR="00000000" w:rsidRPr="00000000" w:rsidDel="00000000">
              <w:rPr>
                <w:rtl w:val="0"/>
              </w:rPr>
              <w:t xml:space="preserve"> un </w:t>
            </w:r>
            <w:r w:rsidR="00000000" w:rsidRPr="00000000" w:rsidDel="00000000">
              <w:rPr>
                <w:rtl w:val="0"/>
              </w:rPr>
              <w:t xml:space="preserve">49.4. </w:t>
            </w:r>
            <w:r w:rsidR="00000000" w:rsidRPr="00000000" w:rsidDel="00000000">
              <w:rPr>
                <w:rtl w:val="0"/>
              </w:rPr>
              <w:t xml:space="preserve">apakšpunktā</w:t>
            </w:r>
            <w:r w:rsidR="00000000" w:rsidRPr="00000000" w:rsidDel="00000000">
              <w:rPr>
                <w:rtl w:val="0"/>
              </w:rPr>
              <w:t xml:space="preserve">  norādīto informāciju, apliecina, ka uz viņu neattiecas neviens no Finanšu regulas 136. un 141. pantā minētajiem izslēgšanas nosacījumiem, un iesniedz šo noteikumu </w:t>
            </w:r>
            <w:r w:rsidR="00000000" w:rsidRPr="00000000" w:rsidDel="00000000">
              <w:rPr>
                <w:rtl w:val="0"/>
              </w:rPr>
              <w:t xml:space="preserve">50.5.</w:t>
            </w:r>
            <w:r w:rsidR="00000000" w:rsidRPr="00000000" w:rsidDel="00000000">
              <w:rPr>
                <w:rtl w:val="0"/>
              </w:rPr>
              <w:t xml:space="preserve"> un </w:t>
            </w:r>
            <w:r w:rsidR="00000000" w:rsidRPr="00000000" w:rsidDel="00000000">
              <w:rPr>
                <w:rtl w:val="0"/>
              </w:rPr>
              <w:t xml:space="preserve">50.6. </w:t>
            </w:r>
            <w:r w:rsidR="00000000" w:rsidRPr="00000000" w:rsidDel="00000000">
              <w:rPr>
                <w:rtl w:val="0"/>
              </w:rPr>
              <w:t xml:space="preserve">apakšpunktā</w:t>
            </w:r>
            <w:r w:rsidR="00000000" w:rsidRPr="00000000" w:rsidDel="00000000">
              <w:rPr>
                <w:rtl w:val="0"/>
              </w:rPr>
              <w:t xml:space="preserve"> norādītos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50. punktā svītrot vārdus un skaitļus "norāda šo noteikumu 49.1., 49.2., 49.3. un 49.4. apakšpunktā norādīto informāciju, apliecina, ka uz viņu neattiecas neviens no Finanšu regulas 136. un 141. pantā minētajiem izslēgšanas nosacījumiem, un iesniedz šo noteikumu 50.5. un 50.6. apakšpunktā norādītos dokumentus:", tā vietā 50. punkta tālākajos apakšpunktos secīgi un izsmeļoši norādot, kas ir jānorāda, bet atsevišķā noteikumu projekta punktā lūdzam paredzēt, kādus dokumentus pieteikumam pievieno. Norādām, ka pretējā gadījumā attiecīgais regulējums ir strukturāli neskaidrs un nepārskatāms.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Izglītības pakalpojuma sniedzējs platformā aizpilda pieteikumu, kurā norāda šo noteikumu </w:t>
            </w:r>
            <w:r w:rsidR="00000000" w:rsidRPr="00000000" w:rsidDel="00000000">
              <w:rPr>
                <w:rtl w:val="0"/>
              </w:rPr>
              <w:t xml:space="preserve">49.1.</w:t>
            </w:r>
            <w:r w:rsidR="00000000" w:rsidRPr="00000000" w:rsidDel="00000000">
              <w:rPr>
                <w:rtl w:val="0"/>
              </w:rPr>
              <w:t xml:space="preserve">, ,</w:t>
            </w:r>
            <w:r w:rsidR="00000000" w:rsidRPr="00000000" w:rsidDel="00000000">
              <w:rPr>
                <w:rtl w:val="0"/>
              </w:rPr>
              <w:t xml:space="preserve">49.2.</w:t>
            </w:r>
            <w:r w:rsidR="00000000" w:rsidRPr="00000000" w:rsidDel="00000000">
              <w:rPr>
                <w:rtl w:val="0"/>
              </w:rPr>
              <w:t xml:space="preserve"> </w:t>
            </w:r>
            <w:r w:rsidR="00000000" w:rsidRPr="00000000" w:rsidDel="00000000">
              <w:rPr>
                <w:rtl w:val="0"/>
              </w:rPr>
              <w:t xml:space="preserve">49.3.</w:t>
            </w:r>
            <w:r w:rsidR="00000000" w:rsidRPr="00000000" w:rsidDel="00000000">
              <w:rPr>
                <w:rtl w:val="0"/>
              </w:rPr>
              <w:t xml:space="preserve"> un </w:t>
            </w:r>
            <w:r w:rsidR="00000000" w:rsidRPr="00000000" w:rsidDel="00000000">
              <w:rPr>
                <w:rtl w:val="0"/>
              </w:rPr>
              <w:t xml:space="preserve">49.4. </w:t>
            </w:r>
            <w:r w:rsidR="00000000" w:rsidRPr="00000000" w:rsidDel="00000000">
              <w:rPr>
                <w:rtl w:val="0"/>
              </w:rPr>
              <w:t xml:space="preserve">apakšpunktā</w:t>
            </w:r>
            <w:r w:rsidR="00000000" w:rsidRPr="00000000" w:rsidDel="00000000">
              <w:rPr>
                <w:rtl w:val="0"/>
              </w:rPr>
              <w:t xml:space="preserve">  norādīto informāciju, apliecina, ka uz viņu neattiecas neviens no Finanšu regulas 136. un 141. pantā minētajiem izslēgšanas nosacījumiem, un iesniedz šo noteikumu </w:t>
            </w:r>
            <w:r w:rsidR="00000000" w:rsidRPr="00000000" w:rsidDel="00000000">
              <w:rPr>
                <w:rtl w:val="0"/>
              </w:rPr>
              <w:t xml:space="preserve">50.5.</w:t>
            </w:r>
            <w:r w:rsidR="00000000" w:rsidRPr="00000000" w:rsidDel="00000000">
              <w:rPr>
                <w:rtl w:val="0"/>
              </w:rPr>
              <w:t xml:space="preserve"> un </w:t>
            </w:r>
            <w:r w:rsidR="00000000" w:rsidRPr="00000000" w:rsidDel="00000000">
              <w:rPr>
                <w:rtl w:val="0"/>
              </w:rPr>
              <w:t xml:space="preserve">50.6. </w:t>
            </w:r>
            <w:r w:rsidR="00000000" w:rsidRPr="00000000" w:rsidDel="00000000">
              <w:rPr>
                <w:rtl w:val="0"/>
              </w:rPr>
              <w:t xml:space="preserve">apakšpunktā</w:t>
            </w:r>
            <w:r w:rsidR="00000000" w:rsidRPr="00000000" w:rsidDel="00000000">
              <w:rPr>
                <w:rtl w:val="0"/>
              </w:rPr>
              <w:t xml:space="preserve"> norādītos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49.5. apakšpunktā un 50. punktā ietverto regulējumu attiecībā uz izslēgšanas kritērijiem. Norādām, ka attiecīgās regulas 141. punktā nav norādīti izslēgšanas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Izglītības pakalpojumu sniedzēji, kuru pieteikums nav apstiprināts, var atkārtoti pieteikties nākamajā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noteiktajā termiņā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 noteiktajā kārtībā finansējuma saņēmēja izsludinātā uzaicinājumā individuālo mācību kontu pieejas aprobācijas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48. punktā nav minēts pieteikumu iesniegšanas termiņš, tādēļ lūdzam precizēt noteikumu projekta 52. punktā ietverto attiecīgo atsauci vai 48. punktu, nodrošinot skaidras tiesību normas. Līdzīgi lūdzam pārskatīt un precizēt arī citas noteikumu projekta normas, piemēram, 53. punktu (arī 54.2.11. apakšpunktu u.c.), nodrošinot korektas un precīzas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54.2.4. norises laikus;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54.2.4. apakšpunktā konkretizēt, par kādām norisēm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 mācību grupu ietvaros var mācīties izglītojamie, kas saņem publisko finansējumu, kā arī izglītojamiem, kas dalību apmaksā no saviem, darba devēja vai citiem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nodrošināt vienveidīgu izteiksmi attiecībā uz tajā lietotajiem terminiem "dalībnieki", "izglītojamie" un "gala labuma guvēji". Alternatīvi lūdzam noteikumu projekta anotācijā skaidrot, ar ko minētie termini savstarpēji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finansējuma saņēmējs ir saņēmis vismaz trīs sūdzības pusgada laikā par izglītības pakalpojuma sniedzēja sniegto pakalpojumu kvalitāti un finansējuma saņēmējs ir guvis tam apliecinājumu, ka izglītības pakalpojuma sniedzējs nenodrošina atbilstošu un kvalitatīvu izglītības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58.4. apakšpunktu. Norādām, ka no noteikumu projekta un tā anotācijas neizriet pamatojums noteikt priekšnoteikumu par trīs sūdzību iesniegšanu, ņemot vērā, ka izglītības pakalpojuma kvalitāte būtu izvērtējama jau pēc vienas sūdzības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izglītības pakalpojuma sniedzējs nenodrošina atbilstošu un kvalitatīvu izglītības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PVN no valsts budžeta iespējams segt tikai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63. punktu, konkretizējot, uz kuriem tiesību subjektiem (finansējuma saņēmēju vai citiem) šī punkta prasības attiecas, izvairoties no vispārīgām norādēm, kādos gadījumos var segt PVN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Personai piesakoties izglītības programmai ir jānorāda informācija par personas dzimumu, lai nodrošinātu godīgu attieksmi pret datu subjektu – personu, kuras dati tiek apstrādāti.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norādi "personu, kuras dati tiek apstrādāti", neskaidrojot normatīvajos aktos personu datu apstrādes jomā skaidrotos un lietotos jēdzienus. Kā arī lūdzam izvērtēt un svītrot noteikumu projektā ietverto norādi uz godīgas attieksmes nodrošināšanu, nepieciešamības gadījumā noteikumu projekta anotācijā skaidrot minēto mērķi, tostarp norādot anotācijā, kā tieši un pret kādu subjektu godīgā attieksme tiek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Katru informācijas apstrādi platformā auditē. Auditācijas pieraksti ir ierobežotas pieejamības informācija. Auditācijas pierakstus platforma glabā 72 mēnešus un izmanto sistēmas uzturēšanai. Pēc noteiktā termiņa auditācijas pieraksti tiek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80. punkta otro teikumu, jo atbilstoši Informācijas atklātības likuma 5. panta otrās daļas 1. punktam ierobežotas pieejamības informācijas statusu var noteikt ar likumu, nevis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Atbalsta programmas nodrošinātājs ir personas datu apstrādātājs šo noteikumu ietvaros apstrādājamiem individuālo mācību kontu lietotāju personas datiem, kas noslēdz starpresoru vienošanos par platformas izmantošanu ar platformas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kā deklaratīvus svītrot noteikumu projekta 90. punktā vārdus "ir personas datu apstrādātājs šo noteikumu ietvaros apstrādājamiem individuālo mācību kontu lietotāju personas datiem", tā vietā nepieciešamības gadījumā paredzot konkrētu kompetenci, kuras ietvaros attiecīgie personas dati varētu tikt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Valsts pārvaldes iestāžu pārvaldīto atbalsta programmu ietvaros, publisko finansējumu piešķir arī nepilngadīgām personām, kas ir reģistrējušās platformā atbilstoši konkrētās atbalsta programmas nosacījumiem, finansēšanas kārtībai, mērķa grupai un citiem atbalsta kritērijiem, kas publicēti attiecīgās valsts pārvaldes iestādes oficiālajā tīmekļvietnē un individuālo mācību kontu tīmekļvietnē. Lai nodrošinātu individuālā mācību konta izmantošanu personām, kas jaunākas par 18 gadiem nosacījumi tiek atrunāti starpresoru vienošanās ietvaros un atbilstošo dokumentu pārbaudi un uzkrāšanu par nepilngadīgām personām veic atbalsta programmas nodrošinātājs.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92. punktā precīzāk norādīt, par kādiem nosacījumiem ir runa, kā arī svītrot vārdu "ietvaros" pēc vārds "vienošanās",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nodrošināt atbalsta programmas nodrošinātāja izstrādātās atbalsta programmas ieviešanu un uzraudzību, nodrošinot izglītības pakalpojumu sniedzēju un izglītības pakalpojumu atlasi, atbilstoši atbalsta programmas nodrošinātāja atbalsta programmas nosacījumiem, ievietošanai individuālo mācību kontu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noteikumu projekta 93. punktā ietvertajam regulējumam, kas paredz, ka atbalsta programmas nodrošinātāja atbalsta programmas nosacījumi (kritēriji), pieejamais finansējums u.c. tiek ievietoti  iestādes oficiālajā tīmekļvietnē un individuālo mācību kontu tīmekļvietnē, bet nevis ārējā normatīvajā aktā (noteikumu projektā), nepieciešamības gadījumā precizējot noteikumu projektu. Norādām, ka, ņemot vērā, ka izglītības pakalpojumu sniedzēji var būt privātpersonas, atlases rezultātā attiecībā uz šīm personām pieņemtais lēmums būs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Administratīvā procesa likuma 11. pantam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 Attiecīgi secināms, ka pamatam nelabvēlīga administratīvā akta izdošanai jābūt atbilstoši noteiktam.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šo noteikumu </w:t>
            </w:r>
            <w:r w:rsidR="00000000" w:rsidRPr="00000000" w:rsidDel="00000000">
              <w:rPr>
                <w:rtl w:val="0"/>
              </w:rPr>
              <w:t xml:space="preserve">66.4. </w:t>
            </w:r>
            <w:r w:rsidR="00000000" w:rsidRPr="00000000" w:rsidDel="00000000">
              <w:rPr>
                <w:rtl w:val="0"/>
              </w:rPr>
              <w:t xml:space="preserve">apakšpunkts</w:t>
            </w:r>
            <w:r w:rsidR="00000000" w:rsidRPr="00000000" w:rsidDel="00000000">
              <w:rPr>
                <w:rtl w:val="0"/>
              </w:rPr>
              <w:t xml:space="preserve"> stājas spēkā 2025. gada 30.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platformas turētājs un pārzinis nevar ietekmēt noteikumu projekta normu spēkā stāšanos, lūdzams svītrot noteikumu projekta 94.6. apakšpunktu, nepieciešamības gadījumā izdalot atsevišķu noslēguma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Platforma informāciju tiešsaistes režīmā (ja attiecināms) no Pilsonības un migrācijas lietu pārvaldes Fizisko personu reģistra, Valsts izglītības informācijas sistēmas, pašvaldību pārziņā esošās Pašvaldību sociālās palīdzības un sociālo pakalpojumu administrēšanas sistēmas, Nodarbinātības valsts aģentūras pārziņā esošās Bezdarbnieku uzskaites un reģistrēto vakanču informācijas sistēmas saņem datus pēc vienošanās noslēgšanas, t.sk. starpresoru vienošanās 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95. punktā precīzi un izsmeļoši uzskaitīt, pēc kādas vienošanās noslēgšanas (nevis slēgšanas) Platforma saņem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 sadaļu, skaidrojot Eiropas Parlamenta un Padomes 2021. gada 12. februāra Regulas (ES) 2021/241, ar ko izveido Atveseļošanas un noturības mehānismu (turpmāk – regula 2021/241, Eiropas parlamenta un Padomes 2018.gada 18.jūlija Regulas (ES, Euratom) 2018/1046 par finanšu noteikumiem, ko piemēro Savienības vispērējam budžetam, ar kuru groza Regulas (ES) Nr.  1296/2013, (ES) Nr. 1301/2013, (ES) Nr. 1303/2013, (ES) Nr. 1304/2013, (ES) Nr. 1309/2013, (ES) Nr. 1316/2013, (ES) Nr. 223/2014, (ES) Nr. 283/2014 un Lēmumu Nr. 541/2014/ES un atceļ Regulu (ES, Euratom) Nr. 966/2012 prasību ieviešanu noteikumu projektā, kā arī 2021. gada 3. septembra Eiropas Komisijas un Latvijas Republikas parakstīto Atveseļošanas un noturības mehānisma finansēšanas nolīguma izpildi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2026. gada 31. maijam Izglītības un zinātnes ministrijai izvērtēt nepieciešamību atbilstoši aprobācijas rezultātiem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 punktu un noteikumu projekta anotāciju, skaidrojot, kas ir domāts ar patstāvīgu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 (noteikumu projekts jau paredz regulējumu minētās reformas investīcijas īstenošanai daļā), kā arī lūdzam noteikumu projekta anotācijā skaidrot, kā (jo īpaši izstrādājot regulējumu līdz 2026. gada 31. maijam) paredzēts pilnībā īstenot minēto reformu, ņemot vērā, ka atbilstoši regulas Nr. 2021/241 18. panta 4. punkta "i" apakšpunktam minētā plāna reformām un realizētām investīcijām jābūt pabeigtām līdz 2026. gada 31.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individuālo mācību kontu pieejas attīstību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nosaukumu veidot atbilstoši juridiskās tehnikas prasībām. Norādām, ka atbilstoši Ministru kabineta 2009. gada 3. februāra noteikumu Nr. 108 „Normatīvo aktu projektu sagatavošanas noteikumi” 91. un 92. punktam noteikumu projekta nosaukumā vārdus “kārtība”, “noteikumi” v.tml. raksta kā nosaukuma pēdējo vārdu un nosaukumu ar vārdiem “Noteikumi par” iesāk tikai</w:t>
            </w:r>
            <w:r w:rsidR="00000000" w:rsidRPr="00000000" w:rsidDel="00000000">
              <w:rPr>
                <w:u w:val="single"/>
                <w:rtl w:val="0"/>
              </w:rPr>
              <w:t xml:space="preserve"> retos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nosaukumu veidot līdzīgi kā citus Atveseļošanas un noturības mehānisma plāna īstenošanas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atbalsta persona – pilnvarota atbalsta programmas nodrošinātāja persona, kura atbalsta programmas ietvaros sniedz atbalstu personai tai reģistrējoties un izveidojot individuālā mācību kontu platformā, kā arī personai piesakoties individuālo mācību kontu pieejas aprobācijas ietvaros finansētā izglītības pakalpojuma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1.12. apakšpunktu, norādot, vai konkrētā persona ir atbalsta programmas nodrošinātāja pilnvarota vai runa ir par atbalsta programmas nodrošinātāja nodarbināto.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valsts budžeta finansējums (pievienotās vērtības nodokļa izmaksām): nepārsniedzot 139 381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8.2. apakšpunktā svītrot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apstiprina personai individuālo mācību kontu pieejas aprobācijas ietvaros pieejamo finansējumu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noteiktajiem izglītības pakalpojumiem, apstiprina finansējumu personai un pēc sekmīgas izglītības programmas apguves, ko apliecina izglītības pakalpojuma sniedzēja izsniegtais apliecinājums, izmaksā piešķirto individuālo mācību kontu pieejas aprobācijas finansējumu izglītības pakalpojumu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punkta ievaddaļā un 20.2. apakšpunktā svītrot vārdus "šo noteikumu 2.5. apakšpunktā noteiktajiem ", jo attiecīgā norāde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nodrošina, ka normatīvajos aktos par Atveseļošanas fonda plāna īstenošanas un uzraudzības kārtību un Eiropas Parlamenta un Padomes 2021. gada 12. februāra Regulas (ES) Nr. 2021/241, ar ko izveido Atveseļošanas un noturības mehānismu (turpmāk – regula Nr. 2021/241), 22. panta 2. punkta "e" apakšpunktā minētajām institūcijām projekta īstenošanas laikā nodrošina ar projekta īstenošanu saistītās dokumentācijas uzglabāšanu līdz 2031. gada 31. decembrim - noteiktajā dokumentu glabāšanas termiņā ir pieejami visi ar projekta īstenošanu saistītie dokumentu oriģināli un grāmatvedības sistēmas dati. Dokumentu un datu pieejamība tiek nodrošināta vadības informācijas sistēmā vai pie finansējuma saņēmēja. Ja dokumenti un dati ir pieejami tikai pie finansējuma saņēmēja, nodrošina to iesniegšanu institūcijā, kas atbilstoši normatīvajos aktos par Atveseļošanas fonda plāna īstenošanas un uzraudzības kārtību noteiktajai kompetencei tos pieprasa, kā arī, ja nepieciešams, nodrošina informācijas pieejamību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20.7. apakšpunktu ("nodrošina (..), ka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Finansēšanas kārtība un atbalsta pasākumi individuālo mācību kontu pieejas aprobācijas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ar ko atšķiras individuālo mācību kontu pieejas aprobācijā īstenojamie atbalsta pasākumi no atbalsta pasākumiem individuālo mācību kontu pieejas aprobācijas ietvaros, nepieciešamības gadījumā precizējot noteikumu projekta un nodrošinot vienveidīgu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izvērtē izglītības pakalpojuma sniedzēja atbilstību šo noteikumu </w:t>
            </w:r>
            <w:r w:rsidR="00000000" w:rsidRPr="00000000" w:rsidDel="00000000">
              <w:rPr>
                <w:rtl w:val="0"/>
              </w:rPr>
              <w:t xml:space="preserve">49.</w:t>
            </w:r>
            <w:r w:rsidR="00000000" w:rsidRPr="00000000" w:rsidDel="00000000">
              <w:rPr>
                <w:rtl w:val="0"/>
              </w:rPr>
              <w:t xml:space="preserve"> un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noteiktajām prasībām, nepieciešamības gadījumā pieprasa papildus informāciju pieteikuma izvērtēšanai. Gadījumā ja tiek konstatēts, ka uz izglītības pakalpojuma sniedzēju ir attiecināms kāds no 44.5. apakšpunktā minētajiem izslēgšanas kritērijiem, Finansējuma saņēmējs noraida izglītības pakalpojuma sniedzēja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44.5. apakšpunktā nav minēti izslēgšanas kritēriji, tādēļ lūdzam atbilstoši tehniski precizēt noteikumu projekta 51.1. apakšpunktā ietverto attiecīgo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izglītības pakalpojumu sniedzējs komplektē mācību grupas atbilstoši personu pieteikumiem. Izglītības pakalpojuma sniedzējam ir tiesības veikt nelielas tehniskas izmaiņas saistībā ar izglītības programmas īstenošanu (mācību grupas lieluma izmaiņas, norises datumu korekcijas un citas tehniskā rakstura izmaiņas), iepriekš saskaņojot tās ar izglītojamajiem un informējot par to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vai ar dalībniekiem un izglītojamiem noteikumu projekta kontekstā saprotams viens un tas pats, nepieciešamības gadījumā precizējot noteikumu projektu un nodrošinot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saņēmējs ir tiesīgs pieprasīt un izglītības pakalpojumu sniedzējam ir pienākums iesniegt finansējuma saņēmējam izglītības programmu izmaksu pamatojumu un to atbilstību tirgus cenām šo noteikumu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norādītajām izglītības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saņēmējs ir tiesīgs pieprasīt izglītības pakalpojumu sniedzējam iesniegt finansējuma saņēmējam izglītības programmu izmaksu pamatojumu un to atbilstību tirgus cenām šo noteikumu 15.3. un 15.6. apakšpunktā  norādītajām izglītības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ir tiesīgs izslēgt izglītības pakalpojumu sniedzēju no Izglītības pakalpojumu sniedzēju kataloga un dalības platformā, vienpusēji uzsakot šo noteikumu </w:t>
            </w:r>
            <w:r w:rsidR="00000000" w:rsidRPr="00000000" w:rsidDel="00000000">
              <w:rPr>
                <w:rtl w:val="0"/>
              </w:rPr>
              <w:t xml:space="preserve">51.2. </w:t>
            </w:r>
            <w:r w:rsidR="00000000" w:rsidRPr="00000000" w:rsidDel="00000000">
              <w:rPr>
                <w:rtl w:val="0"/>
              </w:rPr>
              <w:t xml:space="preserve">apakšpunktā</w:t>
            </w:r>
            <w:r w:rsidR="00000000" w:rsidRPr="00000000" w:rsidDel="00000000">
              <w:rPr>
                <w:rtl w:val="0"/>
              </w:rPr>
              <w:t xml:space="preserve"> minēto sadarbības līgumu, ja iestājas kāds no zemāk uzskaitītajiem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juridiski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ir tiesīgs izslēgt izglītības pakalpojumu sniedzēju no Izglītības pakalpojumu sniedzēju kataloga un dalības platformā, vienpusēji atkāpjoties no sadarbības līguma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58.6. ja šo noteikumu </w:t>
            </w:r>
            <w:r w:rsidR="00000000" w:rsidRPr="00000000" w:rsidDel="00000000">
              <w:rPr>
                <w:rtl w:val="0"/>
              </w:rPr>
              <w:t xml:space="preserve">70. </w:t>
            </w:r>
            <w:r w:rsidR="00000000" w:rsidRPr="00000000" w:rsidDel="00000000">
              <w:rPr>
                <w:rtl w:val="0"/>
              </w:rPr>
              <w:t xml:space="preserve">punktā</w:t>
            </w:r>
            <w:r w:rsidR="00000000" w:rsidRPr="00000000" w:rsidDel="00000000">
              <w:rPr>
                <w:rtl w:val="0"/>
              </w:rPr>
              <w:t xml:space="preserve"> noteiktais reitings pēc divu izglītības programmu nodrošināšanas ir zemāks par trim punktiem, tad izglītības pakalpojumu sniedzējs izslēdzams no platformā izvietotā Izglītības pakalpojumu sniedzēju kataloga līdz kvalitātes uzlabošanai un sniedz atkārtoti izglītības pakalpojumu sniedzēja pieteikumu atkārtotai izvērtēšanai šo noteikumu </w:t>
            </w:r>
            <w:r w:rsidR="00000000" w:rsidRPr="00000000" w:rsidDel="00000000">
              <w:rPr>
                <w:rtl w:val="0"/>
              </w:rPr>
              <w:t xml:space="preserve">50.</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"58.6. ja šo noteikumu 70. punktā noteiktais reitings pēc divu izglītības programmu nodrošināšanas ir zemāks par trim punktiem. Šādā gadījumā izglītības pakalpojumu sniedzējs izslēdzams no platformā izvietotā Izglītības pakalpojumu sniedzēju kataloga līdz kvalitātes uzlabošanai un sniedz atkārtoti izglītības pakalpojumu sniedzēja pieteikumu atkārtotai izvērtēšanai šo noteikumu 49. un 50.punktā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tādas atvasinātas publiskās personas un kapitālsabiedrības kā valsts un pašvaldību ārstniecības iestādes (slimnīcas), plānošanas reģioni, augstskolas un  zinātniskās institūcijai,  ja PVN nevar atgūt, to sedz no valsts budžeta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63.2. un 63.3 apakšpunktā svītrot vārdus "to sedz no valsts budžeta līdzekļiem", nedublējot 63. 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Lai veiktu aptaujas sniegto pakalpojumu kvalitātes uzlabošanai vai citu normatīvajos aktos noteikto mērķu sasniegšanai, platformas pārzinis var apstrādāt šādus sistēmā uzkrātos lietotāju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79. un 82. punktu, atbilstoši juridiskās tehnikas prasībām norādot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ja platformas pārzinim vai atbalsta programmas nodrošinātājam ir pamatotas aizdomas, ka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minētie elektroniskās identifikācijas līdzekļi ir kļuvusi zināmi trešajai personai vai ir pamats uzskatīt, ka elektroniskās identifikācijas līdzekļus platformā izmanto nelikumīgi vai krāpnieciski,  platformas pārzinim ir tiesības apturēt individuālā mācību konta darbību, bloķējot individuālā mācību konta lietotāja piekļuvi individuālajam mācību kontam, līdz apstākļu noskaidrošanai, paziņojot to individuālā mācību konta lietotājam uz lietotāja norādīto kontaktinformāciju platformā divu darbdienu laikā no fakta konstatēšanas par platformas pārziņa vai atbalsta programmas nodrošinātāja pamatotām aizdomām un pieprasot individuālo mācību konta lietotājam sniegt paskaidrojumus 10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83.2. apakšpunktā svītrot vārdus "vai krāpnieciski",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Individuālo mācību kontu platformas pārziņa pienākumi un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88. punkta ievaddaļā, 93. punkta ievaddaļā un 1. punktā svītrot vārdus "un atbildība", ņemot vērā, ka šajos punktos minēti vienīgi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93.7. atbalsta programmas nodrošinātājs un platformas pārzinis var slēgt starpresoru vienošanos par datu savstarpēju apmaiņu un izmantošanu pieaugušo izglītības pakalpojumu pārvaldībai arī neizmantojot pilnu platformas funkcionalitāti, ievērojot personas datu aizsardzības jomu regulējošos normatīvos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projektā atsaukties uz personas datu aizsardzības jomu regulējošo normatīvo aktu ievērošanu. Norādām, ka minēto normatīvo tiesību aktu prasības ir jāievēro neatkarīgi no tā, vai uz to ievērošanas nepieciešamību tiks atsevišķi norādīts.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Platformas turētājs un pārzinis, lai nodrošinātu platformas funkcionalitāti pilnā apjomā no 2026. gada 31. maija, veicamas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juridiskās tehnikas prasībām precizēt noteikumu projekta 40. punktu, ievērojot iepriekš atrunāto saīsinājumu, kā arī 40. punktā u.c. lūdzam izvairīties no nākotnes formas lietošanas.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Platformas pārzinis, lai nodrošinātu platformas funkcionalitāti pilnā apjomā no 2026. gada 31. maija,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Individuālo mācību kontu tīmekļvietne ar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noteikto  informāciju tiks izstrādāta līdz 2024. gada 31. decembrim un papildināta līdz 2026.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94.1. apakšpunktā svītrot vārdus "ar šo noteikumu 66. punktā noteikto informāciju", jo attiecīgā norāde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18.06.2024.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18.06.2024.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