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lpp.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46.pantu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Centralizētās siltumapgādes sistēmas operatori savā tīmekļa vietnē reizi mēnesī publicē informāciju par iepriekšējā mēneša atjaunīgās enerģijas īpatsvaru centralizētajā siltumapgādes sistēmā vai centralizētajā aukstumapgādes sistēmā un reizi pusgadā par veiktajiem energoefektivitātes uzlabošanas pasākumiem un to rezultātā sasniegtajiem enerģijas ietaupījumiem.”.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uzdevumu ne tikai publicēt atjaunīgās enerģijas īpatsvaru, bet arī ēkas siltumenerģijas patēriņu kWh/m</w:t>
            </w:r>
            <w:r w:rsidR="00000000" w:rsidRPr="00000000" w:rsidDel="00000000">
              <w:rPr>
                <w:vertAlign w:val="superscript"/>
                <w:rtl w:val="0"/>
              </w:rPr>
              <w:t xml:space="preserve">2</w:t>
            </w:r>
            <w:r w:rsidR="00000000" w:rsidRPr="00000000" w:rsidDel="00000000">
              <w:rPr>
                <w:rtl w:val="0"/>
              </w:rPr>
              <w:t xml:space="preserve">. Iekļaut energoapgādes uzņēmumiem deleģējumu sniegt datus pašvaldības pilnvarotajai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daļēji iekļauta Energoefektivitātes likumā, bet tiek dažādi interpretēta un netiek praksē aktīvi pielietota. Atsevišķi energoapgādes uzņēmumi nesniedz datus pašvaldībām, lai veiktu energoapgādes plānošanu. Būtiski nepieciešami saistībā ar 51.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21.08.2023.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21.08.2023.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