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7.pantā paredzētais publiskas personas līdzdalības kapitālsabiedrībā izvērtējums ir jāveici reizi piecos gados un tam ir jāietver komplekss lietderības apsvērumu izvērtējums, tai skaitā vērtējot katras kapitālsabiedrības sniegto pakalpojumu integrāciju attiecīgajā pakalpojumu segmentā, novēršot nepamatotu publiskas personas kapitālsabiedrību sniegto pakalpojumu pārklāšanos. Publiskas personas definētais kapitālsabiedrības vispārējais stratēģiskais mērķis izriet no iepriekš veiktajā līdzdalības izvērtējumā norādītiem stratēģiskiem un lietderības apsvērumiem un atspoguļo kapitālsabiedrības startēģisko unikalitāti.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nav pamatoti atlikt RAKUS un PSKUS stratēģisko mērķu pārskatīšanu uz nākamo līdzdalības izvērtēšanas periodu, tādēļ lūdzam vērtēt RAKUS un PSKUS darbības specifiku kontekstā ar kapitālsabiedrību stratēģisko uzdevumu, un vispārējā stratēģiskā mērķa aprakstā attiecīgi iekļaut katras kapitālsabiedrības teritoriālās vai darbības nozaru (specializāciju)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29.08.2023.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29.08.2023.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