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Izslēdzot prasību, lemjot par kapitālsabiedrības dibināšanu vai līdzdalības iegūšanu kapitālsabiedrībā, pamatot komercdarbības veidu izvēli publiskas personas funkciju nodrošināšanai, netiks veicināta Valsts kontroles revīzijās konstatēto pārkāpumu par kapitālsabiedrību iesaistīšanos komercdarbībā, kas nav saistīta ar publiskas personas funkciju nodrošināšanu, samazināšanās.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Uzskatot, ka nav lietderīgi publiskas personas augstākās lēmējinstitūcijas lēmuma līmenī veikt papildus komercdarbības veidu izvērtējumu, saskatām, ka līdz ar to saglabāsies augsts risks, ka kapitālsabiedrības iesaistīties ar funkciju izpildi nesaistītu komercdarbības veidu pakalpojumu sniegšanā. Nesaskatām, ka praksē pastāvētu grūtības to novērtēt - vērtējot revīzijās vairāku pašvaldību domju lēmumus par to iesaisti komercdarbībā, nav radies iespaids, ka publiska persona nespētu formulēt galveno komercdarbības veidu arī dibināšanas brīdī. Piemēram, siltumapgāde, ūdensapgāde, atkritumu apsaimniekošana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uzskats, ka ne visiem komercdarbības veidiem, kurus veic publisku personu kapitālsabiedrības, ir jābūt obligāti saistītiem ar publiskas personas funkcijas nodrošināšanu (</w:t>
            </w:r>
            <w:r w:rsidR="00000000" w:rsidRPr="00000000" w:rsidDel="00000000">
              <w:rPr>
                <w:i w:val="1"/>
                <w:rtl w:val="0"/>
              </w:rPr>
              <w:t xml:space="preserve">papildinoša komercdarbība</w:t>
            </w:r>
            <w:r w:rsidR="00000000" w:rsidRPr="00000000" w:rsidDel="00000000">
              <w:rPr>
                <w:rtl w:val="0"/>
              </w:rPr>
              <w:t xml:space="preserve">), tad likumdevējam jāpārskata pilnvarojuma robežas par publiskas personas darbības sasaisti ar funkcijām (VPIL 87.panta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Gints Puriņš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06.02.2024.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22-TA-155</w:t>
    </w:r>
    <w:r>
      <w:br/>
    </w:r>
    <w:r w:rsidR="00000000" w:rsidRPr="00000000" w:rsidDel="00000000">
      <w:rPr>
        <w:rtl w:val="0"/>
      </w:rPr>
      <w:t xml:space="preserve">Izdrukāts 06.02.2024.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Atzinumi_22-TA-155.docx</dc:title>
</cp:coreProperties>
</file>

<file path=docProps/custom.xml><?xml version="1.0" encoding="utf-8"?>
<Properties xmlns="http://schemas.openxmlformats.org/officeDocument/2006/custom-properties" xmlns:vt="http://schemas.openxmlformats.org/officeDocument/2006/docPropsVTypes"/>
</file>