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persona nav nodrošinājusi normatīvajos aktos noteikto atļauju par savvaļas dzīvnieku sugu turēšanu nebrīvē un zooloģisko dārzu reģistrēšanu un darbības nodrošināšanu nosacījumu ievērošanu, kā arī, ja persona ir krimināli sodīta par normatīvajos aktos noteikto dzīvnieku turēšanas un labturības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19.2.3. apakšpunkta samērīgumu un atbilstību Latvijas Republikas Satversmes 106. un 116. pantam. Vēršam uzmanību, ka tiesības izvēlēties nodarbošanos, atbilstoši Latvijas Republikas Satversmes 116. pantam, var ierobežot likumā paredzētajos gadījumos. Eiropas Cilvēktiesību tiesas praksi Satversmes tiesa ir secinājusi, ka vārds "likums" aptver ne tikai Saeimas pieņemtus likumus, bet arī citus vispārsaistošus (ārējus) normatīvos aktus, ja vien tie izdoti, pamatojoties uz likumu, publicēti normatīvajos aktos noteiktā kārtībā un ir pietiekami skaidri formulēti, lai adresāts varētu izprast savas tiesības un pienākumus, kā arī tiem jāatbilst tiesiskas valsts principiem (sk. Satversmes tiesas 2002. gada 20. maija sprieduma lietā Nr. 2002-01-03 secinājumu daļu). Tātad Ministru kabineta noteikumos var paredzēt pamattiesību ierobežojumu, bet tam ir jāizriet no likuma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apskatoties Sugu un biotopu aizsardzības likumu, nešķiet, ka šāds pilnvarojums Ministru kabinetam būtu dots. Ievērojot minēto, lūdzam precizēt projektu vai arī norādīt likuma normu, pamatojoties uz kuru projektā var noteikt attiecīgo pamattiesību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atļaujas izdevējiestāde pieņem lēmumu atļauju atteikt vai anulēt, persona veic invazīvās sugas īpatņu likvidēšanu un informē atļaujas izdevējiestādi par izpildi, ievērojot Regulas 1143/2014 7. pantu un saskaņojot likvidēšanas metodi un termiņu ar atļaujas izdevējiestādi.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26. un 27.punktu, ņemot vērā šādus Administratīvā procesa likuma nosacījumus. Administratīvā procesa likuma 369.panta pirmā un otrā daļa paredz, ja </w:t>
            </w:r>
            <w:r w:rsidR="00000000" w:rsidRPr="00000000" w:rsidDel="00000000">
              <w:rPr>
                <w:u w:val="single"/>
                <w:rtl w:val="0"/>
              </w:rPr>
              <w:t xml:space="preserve">administratīvais akts uzliek adresātam pienākumu </w:t>
            </w:r>
            <w:r w:rsidR="00000000" w:rsidRPr="00000000" w:rsidDel="00000000">
              <w:rPr>
                <w:rtl w:val="0"/>
              </w:rPr>
              <w:t xml:space="preserve">izpildīt noteiktu darbību, ko faktiski un tiesiski var izpildīt arī izpildiestāde, cits publisko tiesību subjekts vai privātpersona, šo administratīvo aktu var izpildīt ar aizvietotājizpildes palīdzību. Šādā gadījumā izpildiestāde šo darbību izpilda pati vai arī uzdod to izpildīt citam publisko tiesību subjektam vai privātpersonai. Aizvietotājizpildes izmaksas uzliek adresātam. Ja adresāts izpilda </w:t>
            </w:r>
            <w:r w:rsidR="00000000" w:rsidRPr="00000000" w:rsidDel="00000000">
              <w:rPr>
                <w:u w:val="single"/>
                <w:rtl w:val="0"/>
              </w:rPr>
              <w:t xml:space="preserve">ar administratīvo aktu </w:t>
            </w:r>
            <w:r w:rsidR="00000000" w:rsidRPr="00000000" w:rsidDel="00000000">
              <w:rPr>
                <w:rtl w:val="0"/>
              </w:rPr>
              <w:t xml:space="preserve">uzlikto darbību pirms aizvietotājizpildes pabeigšanas, adresātam uzliek uzsāktās aizvietotājizpildes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projektu precizēt, paredzot, ka izdevējiestāde ar administratīvo aktu uzdod veikt invazīvo sugu likvidēšanu un, ja persona to nepilda, tad atbilstoši Administratīvā procesa likumā noteiktajam tiek veikta piespiedu izpilde. Ja nepilda noteikumu prasības (normatīvā akta prasības), par to nevar veikt piespiedu izpildi Administratīvā procesa likumā noteiktajā kartībā.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invazīvās sugas izskaušanas iespējas pastāv, tad trīs mēnešu laikā no invazīvās sugas klātbūtnes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38.1. un 38.3. apakšpunktus, paredzot, ka attiecīgā iestāde – Dienests vai Pārvalde attiecīgo administratīvo aktu izdod, nevis paziņo, jo normatīvajā aktā jāietver regulējums par lēmuma pieņemšanu (administratīvā akta izdošanu), jo normatīvajā aktā jānosaka, kura iestāde, kādos apstākļos ir tiesīga izdot administratīvo aktu (respektīvi, jānosaka iestādes kompetence). Paziņošanas regulējums nav jāiekļauj normatīvajā aktā, jo paziņošanu jau regulē Administratīvā procesa likuma 70. panta otrā daļa un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38.</w:t>
            </w:r>
            <w:r w:rsidR="00000000" w:rsidRPr="00000000" w:rsidDel="00000000">
              <w:rPr>
                <w:rtl w:val="0"/>
              </w:rPr>
              <w:t xml:space="preserve"> punktā noteiktā kompetentā iestāde var nepiemērot invazīvās sugas izskaušanas pasākumus, ja iestāde konstatē, ka ir izpildīts vismaz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piemēram, projekta 39. punktā, kur tiek pārrakstīts </w:t>
            </w:r>
            <w:r w:rsidR="00000000" w:rsidRPr="00000000" w:rsidDel="00000000">
              <w:rPr>
                <w:i w:val="1"/>
                <w:rtl w:val="0"/>
              </w:rPr>
              <w:t xml:space="preserve">Eiropas Parlamenta un Padomes 2014. gada 22. oktobra Regulas (ES) Nr. 1143/2014 par invazīvu svešzemju sugu introdukcijas un izplatīšanās profilaksi un pārvaldību</w:t>
            </w:r>
            <w:r w:rsidR="00000000" w:rsidRPr="00000000" w:rsidDel="00000000">
              <w:rPr>
                <w:rtl w:val="0"/>
              </w:rPr>
              <w:t xml:space="preserve"> (turpmāk - Regula 1143/2014) 18. panta 1. punkts un visā projektā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persona viena mēneša laikā neveic šo noteikumu </w:t>
            </w:r>
            <w:r w:rsidR="00000000" w:rsidRPr="00000000" w:rsidDel="00000000">
              <w:rPr>
                <w:rtl w:val="0"/>
              </w:rPr>
              <w:t xml:space="preserve">38.</w:t>
            </w:r>
            <w:r w:rsidR="00000000" w:rsidRPr="00000000" w:rsidDel="00000000">
              <w:rPr>
                <w:rtl w:val="0"/>
              </w:rPr>
              <w:t xml:space="preserve"> punktā noteiktos invazīvās sugas izskaušanas pasākumus, tos veic kompetentā iestāde ne vēlāk kā trīs mēnešu laikā no invazīvās sugas klātbūtnes apstiprināšanas brīža. Persona sedz izdevumus, kas saistīti ar invazīvās sugas īpatņu izskaušanu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 punktu, ņemot vērā iebildumu par projekta 26. un 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ja zemes īpašnieks, lietotājs vai tiesiskais valdītājs nesniedz šo noteikumu </w:t>
            </w:r>
            <w:r w:rsidR="00000000" w:rsidRPr="00000000" w:rsidDel="00000000">
              <w:rPr>
                <w:rtl w:val="0"/>
              </w:rPr>
              <w:t xml:space="preserve">45.</w:t>
            </w:r>
            <w:r w:rsidR="00000000" w:rsidRPr="00000000" w:rsidDel="00000000">
              <w:rPr>
                <w:rtl w:val="0"/>
              </w:rPr>
              <w:t xml:space="preserve"> . un </w:t>
            </w:r>
            <w:r w:rsidR="00000000" w:rsidRPr="00000000" w:rsidDel="00000000">
              <w:rPr>
                <w:rtl w:val="0"/>
              </w:rPr>
              <w:t xml:space="preserve">46.</w:t>
            </w:r>
            <w:r w:rsidR="00000000" w:rsidRPr="00000000" w:rsidDel="00000000">
              <w:rPr>
                <w:rtl w:val="0"/>
              </w:rPr>
              <w:t xml:space="preserve">punktā minēto informāciju par invazīvo sugu plānoto ierobežošanu vai neveic ierobežošanas pasākumus saskaņā ar Sugu un biotopu aizsardzības likuma 9. panta 5. punktu, pašvaldība zemes īpašniekam, lietotājam vai tiesiskajam valdītājam var paziņot administratīvo aktu par pienākumu veikt invazīvās sugas ierobežošanas pasākumus saskaņā ar invazīvās sugas ierobežošanas un iznīcināšanas pasākumu plānā ietvertajām metodēm pašvaldības noteiktā termiņā. Ja persona pašvaldības noteiktajā termiņā neveic invazīvās sugas ierobežošanas pasākumus, tos veic pašvaldība, un pašvaldība, pieprasot personai segt izdevumus, kas saistīti ar minētajiem pasākumiem,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60.2. apakšpunktu, paredzot, ka administratīvo aktu izdod, nevis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izvērtējot projekta atbilstību regulu prasībām un sniedzot precīzu, korektu un pilnīgu tā atspoguļojumu anotācijas 5.4. apakšsadaļas 1. tabulā.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ieviešana atspoguļota neprecīzi. Projekta 59. punkts, nevis 60. punkts ievieš regulas 1143/2014 19. panta 3. punktu. Savukārt uz projekta 37. punktu par invazīvās sugas izskaušanas iespēju izvērtēšanu, tiek attiecināts regulas 1143/2014 18. panta 1. punkts par lēmuma pieņemšanu nepiemērot izskaušanas pasākumus, kas noteikts projekta 39. punktā. Tāpat, saprotams, ka projekta 40. punkts, pastarpināti, palīdz īstenot no regulas 1143/2014 18. panta 1. punkta 2.daļas izrietošās dalībvalsts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atspoguļota pilnīga informācija par regulas ieviešanu, piemēram, Regulas 1143/2014 16. panta 1. punkts pirmsšķietami saistīts ar projekta 36. punktu, bet anotācijā nav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anotācijas 1.3. apakšsadaļai ar regulas 1143/2014 ieviešanu saistītas arī citas tiesību normas, piemēram, projekta 12. punkts un 13. 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ieviests </w:t>
            </w:r>
            <w:r w:rsidR="00000000" w:rsidRPr="00000000" w:rsidDel="00000000">
              <w:rPr>
                <w:i w:val="1"/>
                <w:rtl w:val="0"/>
              </w:rPr>
              <w:t xml:space="preserve">Komisijas 2016. gada 4. februāra Īstenošanas Regulas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r w:rsidR="00000000" w:rsidRPr="00000000" w:rsidDel="00000000">
              <w:rPr>
                <w:rtl w:val="0"/>
              </w:rPr>
              <w:t xml:space="preserve"> pielikums, bet projekta 35. punktā vēl cita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1143/2014 20. panta 1. punkts par cietušo ekosistēmu atjaunošanu tiek attiecināts uz projekta 56. punktu, kas neattiecas uz cietušo ekosistēmu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skaidrojot rīcības brīvības izmantošanu, iesakām precīzāk norādīt uz to, ka ir plānots izmantot konkrētas dalībvalstij paredzētās rīcības brīvības, piemēram, regulas 1143/2014 4. panta 4. punktā noteikto, paredzot projektā konkrētu reaģēšanas mehānismu, ja būs nozīmīgs kaitējums bioloģiskajai daudzveidībai un attiecīgajiem ekosistēmu pakalpojumiem, cilvēku veselībai vai ekonomikai. Proti, pamatojot šādu pieeju un tās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Invazīvo sugu introdukcijas un izplatīšanās profilakses un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uz to, ka kaut kas nav ņemts vērā, aicinām izziņā skaidrot, pamatot kāpēc pieņemts šāds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robežkontroles punktos, kuros veic veterināro un fitosanitāro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2.5. apakšpunkts nepārklājas ar 35. punktu, kur arī norādīts uz Pārtikas un veterinārā dienesta kompetenci kontroles darbībām valsts robežas kontroles punktos, un nedublēt projekta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Pārvalde saskaņā ar šo noteikumu 2. punktā noteikto kompetenci koordinē vienotā rīcības plāna aktualizēšanu vismaz reizi sešos gados. Minēto plānu aktualizē saskaņā ar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pārskatīt projektu un nodrošināt tā precīzu redakciju, piemēram, 14. punkta daļā "šo noteikumu 12. punktu 13. punktu" iztrūkst saikļa "un" starp abām projekta iekšējām atsaucēm.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Regulas 1143/2014 8. panta 2. punktu vai 9. panta 1. punktu darbības ar ES saraksta sugām drīkst veikt, ja ir saņemta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16. punkta būtība nav noteikts, ka "Darbības ar ES saraksta sugām drīkst veikt, ja ir saņemta atļauja saskaņā ar Regulas 1143/2014 8. panta 2. punktu vai 9. panta 1. punktu" nevis "Saskaņā ar Regulas 1143/2014 8. panta 2. punktu vai 9. panta 1. punktu darbības ar ES saraksta sugām drīkst veikt, ja ir saņemta atļauja", no kā var noprast, ka minētās regulas vienības jau paredz kaut kādas darbības, kuras drīkst veikt, ja ir saņemta atļauja.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Persona, kam nepieciešama atļauja šo noteikumu </w:t>
            </w:r>
            <w:r w:rsidR="00000000" w:rsidRPr="00000000" w:rsidDel="00000000">
              <w:rPr>
                <w:rtl w:val="0"/>
              </w:rPr>
              <w:t xml:space="preserve">16. </w:t>
            </w:r>
            <w:r w:rsidR="00000000" w:rsidRPr="00000000" w:rsidDel="00000000">
              <w:rPr>
                <w:rtl w:val="0"/>
              </w:rPr>
              <w:t xml:space="preserve">punktā minētajām darbībām, šo noteikumu </w:t>
            </w:r>
            <w:r w:rsidR="00000000" w:rsidRPr="00000000" w:rsidDel="00000000">
              <w:rPr>
                <w:rtl w:val="0"/>
              </w:rPr>
              <w:t xml:space="preserve">17. </w:t>
            </w:r>
            <w:r w:rsidR="00000000" w:rsidRPr="00000000" w:rsidDel="00000000">
              <w:rPr>
                <w:rtl w:val="0"/>
              </w:rPr>
              <w:t xml:space="preserve">punktā minētajā iestādē (turpmāk – atļaujas izdevējiestāde) iesniedz iesniegumu šo noteikumu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projekta 2. pielikumu, piemēram, "iesniedz iesniegumu (2. pielikums)" vai citādi novēršot gramatisko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Atļaujas izdevējiestāde aptur vai anulē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24. punktu kontekstā ar regulas 1143/2014 8. panta 5. punktu un to, vai ar projekta 24. punktā uzskaitītajiem gadījumiem noteikumos ir saprotams un aptverts viss, kas izriet no regulā noteiktā: "</w:t>
            </w:r>
            <w:r w:rsidR="00000000" w:rsidRPr="00000000" w:rsidDel="00000000">
              <w:rPr>
                <w:i w:val="1"/>
                <w:rtl w:val="0"/>
              </w:rPr>
              <w:t xml:space="preserve">Dalībvalstis pilnvaro savas kompetentās iestādes jebkurā brīdī uz laiku vai pavisam anulēt dalībvalsts izdotu atļauju </w:t>
            </w:r>
            <w:r w:rsidR="00000000" w:rsidRPr="00000000" w:rsidDel="00000000">
              <w:rPr>
                <w:i w:val="1"/>
                <w:u w:val="single"/>
                <w:rtl w:val="0"/>
              </w:rPr>
              <w:t xml:space="preserve">ja notiek neparedzēti notikumi ar kaitīgu ietekmi uz bioloģisko daudzveidību vai attiecīgajiem ekosistēmu pakalpojumiem</w:t>
            </w:r>
            <w:r w:rsidR="00000000" w:rsidRPr="00000000" w:rsidDel="00000000">
              <w:rPr>
                <w:rtl w:val="0"/>
              </w:rPr>
              <w:t xml:space="preserve">". Proti, vai abas izpratnes ir savstarpēji atbilstīgas un projekts nesašaurina no regulas izrietošo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Atbilstoši šo noteikumu 2. punktā noteiktajai kompetencei iestādes veic ES saraksta sugu monitoringu. Iestādes iegūtos datus iesniedz Pārvaldē vienu reizi gadā, ciktāl tas nav pretrunā ar šo noteikumu 5.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31. punkta daļu: “</w:t>
            </w:r>
            <w:r w:rsidR="00000000" w:rsidRPr="00000000" w:rsidDel="00000000">
              <w:rPr>
                <w:i w:val="1"/>
                <w:rtl w:val="0"/>
              </w:rPr>
              <w:t xml:space="preserve">Iestādes iegūtos datus iesniedz Pārvaldē vienu reizi gadā, ciktāl tas nav pretrunā ar šo noteikumu 5. nodaļu</w:t>
            </w:r>
            <w:r w:rsidR="00000000" w:rsidRPr="00000000" w:rsidDel="00000000">
              <w:rPr>
                <w:rtl w:val="0"/>
              </w:rPr>
              <w:t xml:space="preserve">”. Vēršam uzmanību, ka projekta 5. nodaļa regulē agrīnu atklāšanu un ātru iznīcināšanu un tajā, pirmsšķietami, nav ietverti nosacījumi, kas būtu pretrunā un attiektos uz monitoringa datu iesniegšanu. Šāds formulējums tiesību normu adresātam var būt maldinošs. Ja ir domāts izņēmums, kad par agrīni atklātām</w:t>
            </w:r>
            <w:r w:rsidR="00000000" w:rsidRPr="00000000" w:rsidDel="00000000">
              <w:rPr>
                <w:rtl w:val="0"/>
              </w:rPr>
              <w:t xml:space="preserve"> sugām jāziņo nekavējoties (nevis reizi gadā), kas noteikts projekta 36. punktā, iesakām ietvert atsauci uz konkrētu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pārējām šo noteikumu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33.2. </w:t>
            </w:r>
            <w:r w:rsidR="00000000" w:rsidRPr="00000000" w:rsidDel="00000000">
              <w:rPr>
                <w:rtl w:val="0"/>
              </w:rPr>
              <w:t xml:space="preserve">apakšpunktā neminētām invazīvām sugām – Pārvalde atbilstoši normatīvajos aktos par sugu atjaunošanu un ieviešanu, dzīvnieku audzēšanas, turēšanas, tirdzniecības vietu un tirgotāju uzraudzību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Ministru kabineta 2009. gada 3. februāra noteikumu Nr. 108 „Normatīvo aktu projektu sagatavošanas noteikumi” 3.7. apakšnodaļas nosacījumiem. Tiesību normu adresātam jānodrošina precīza izpratne par to, kas saprotams ar “</w:t>
            </w:r>
            <w:r w:rsidR="00000000" w:rsidRPr="00000000" w:rsidDel="00000000">
              <w:rPr>
                <w:i w:val="1"/>
                <w:rtl w:val="0"/>
              </w:rPr>
              <w:t xml:space="preserve">normatīvajos aktos par sugu atjaunošanu un ieviešanu, dzīvnieku audzēšanas, turēšanas, tirdzniecības vietu un tirgotāju uzraudzību</w:t>
            </w:r>
            <w:r w:rsidR="00000000" w:rsidRPr="00000000" w:rsidDel="00000000">
              <w:rPr>
                <w:rtl w:val="0"/>
              </w:rPr>
              <w:t xml:space="preserve">” vai "</w:t>
            </w:r>
            <w:r w:rsidR="00000000" w:rsidRPr="00000000" w:rsidDel="00000000">
              <w:rPr>
                <w:i w:val="1"/>
                <w:u w:val="single"/>
                <w:rtl w:val="0"/>
              </w:rPr>
              <w:t xml:space="preserve">normatīvajos aktos</w:t>
            </w:r>
            <w:r w:rsidR="00000000" w:rsidRPr="00000000" w:rsidDel="00000000">
              <w:rPr>
                <w:i w:val="1"/>
                <w:rtl w:val="0"/>
              </w:rPr>
              <w:t xml:space="preserve"> noteikto atļauju par savvaļas dzīvnieku sugu turēšanu nebrīvē un zooloģisko dārzu reģistrēšanu un darbības nodrošināšanu nosacījumu ievērošanu</w:t>
            </w:r>
            <w:r w:rsidR="00000000" w:rsidRPr="00000000" w:rsidDel="00000000">
              <w:rPr>
                <w:rtl w:val="0"/>
              </w:rPr>
              <w:t xml:space="preserve">". Ja tas nav kāds viens konkrēts tiesību akts, lūdzam šīs atsauces izpratni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lūdzam ievērot arī 62. punktā atsaucoties uz Ministru kabineta 2026. gada 10. marta noteikumiem Nr. 127 "Latvijas invazīvo sugu saraksts, introdukcijas un izplatīšanās profilakses un pārvaldības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persona viena mēneša laikā neveic šo noteikumu </w:t>
            </w:r>
            <w:r w:rsidR="00000000" w:rsidRPr="00000000" w:rsidDel="00000000">
              <w:rPr>
                <w:rtl w:val="0"/>
              </w:rPr>
              <w:t xml:space="preserve">38.</w:t>
            </w:r>
            <w:r w:rsidR="00000000" w:rsidRPr="00000000" w:rsidDel="00000000">
              <w:rPr>
                <w:rtl w:val="0"/>
              </w:rPr>
              <w:t xml:space="preserve"> punktā noteiktos invazīvās sugas izskaušanas pasākumus, tos veic kompetentā iestāde ne vēlāk kā trīs mēnešu laikā no invazīvās sugas klātbūtnes apstiprināšanas brīža. Persona sedz izdevumus, kas saistīti ar invazīvās sugas īpatņu izskaušanu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43. punktu, ņemot vērā, ka 38. punkts nenosaka invazīvās sugas izskaušanas pasākumus, bet gan sadala kompetenci to izskaušanai un vispārīgi nosaka, ka tiek veikta izskaušana kā tāda. Aicinām pārliecināties, ka visas projekta iekšējās atsauces pēc precizējumu veikšanas ir atbilstoši aktualizētas.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juridiska vai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un kādēļ, publicējot informāciju par invazīvās sauszemes augu sugas izplatību, nepieciešams publicēt juridisku vai fizisku personu, ja tam nav tiešas saistības ar  invazīvās sauszemes augu sugas izplatību. Šajā situācijā, domājams, svarīgāk identificēt invazīvo augu sugu, teritoriju u.tml. Ja šāda nepieciešamība ir pamatota, lūdzam to argumentēt anotācijā, tajā skaitā skaidrojot projekta atbilstību Eiropas Parlamenta un Padomes 2016. gada 27. aprīļa Regulai (ES) 2016/679 par fizisku personu aizsardzību attiecībā uz personas datu apstrādi un šādu datu brīvu apriti un ar ko atceļ Direktīvu 95/46/EK, piemēram, tās 5. panta 1. punkta "c" apakšpunktam par datu minimizēšanu, vienlaicīgi aizpildot arī atbilstošās anotācijas sadaļas ar izvērstiem skaidrojumiem. Saglabājot šo projekta vienību, lūdzam konkrēti norādīt, kas tieši tiek publicēts, jo pašreizējā norāde projekta 47.1. apakšpunktā ir pārāk vispārīga. Minēto lūdzam ievērot arī attiecībā uz 45.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Atbilstoši šo noteikumu 2. punktā noteiktajai kompetencei iestādes pēc sugas iekļaušanas ES sarakstā izstrādā Latvijā plaši izplatītas invazīvās sugas vai sugu grupas ierobežošanas un iznīcināšanas pasākumu plānu un to iesniedz Pārvaldei. Plānus publicē Pārvaldes tīmekļvietnē un katras kompetentās iestādes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54. punkta pēdējo teikumu, ņemot vērā, ka Dabas aizsardzības pārvalde arī ir viena no kompetentajām iestādēm. Attiecīgi, ja plānus publicē visu iestāžu tīmekļvietnēs, pēdējā teikumā var norādīt vienkārši: "Plānus publicē kompetento iestāžu tīmekļvietnēs".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atļaujai darbībām ar invazīvām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 pielikuma failam tā nosaukums ir " Iesniegums atļaujas izsniegšanai darbībām ar invazīvām sugām", nevis "Iesniegums atļaujai darbībām ar invazīvām sugām". Lūdzam salāgot projekta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projektu ar tā skaidrojumiem un nodrošināt savstarpēju atbilstību un potenciālu nekorektas projekta interpretācijas risku. Piemēram, projekta 25. punkts nosaka, ka persona vienkārši iestādē iesniedz iesniegumu par nepieciešamajiem atļaujas nosacījumu grozījumiem, ja nepieciešamas izmaiņas atļaujas nosacījumos. Taču anotācijā skaidrots, ka "</w:t>
            </w:r>
            <w:r w:rsidR="00000000" w:rsidRPr="00000000" w:rsidDel="00000000">
              <w:rPr>
                <w:i w:val="1"/>
                <w:rtl w:val="0"/>
              </w:rPr>
              <w:t xml:space="preserve">Atļaujas turētājs nekavējoties iesniedz iesniegumu kompetentajā iestādē, ja mainās atļaujas izdošanas nosacījumi [..]</w:t>
            </w:r>
            <w:r w:rsidR="00000000" w:rsidRPr="00000000" w:rsidDel="00000000">
              <w:rPr>
                <w:rtl w:val="0"/>
              </w:rPr>
              <w:t xml:space="preserve">". Kā redzams abiem formulējumiem ir atšķirīgs raksturs, kas tiesību normu adresātam var būt musinoši.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risinājumu, iesakām to tā arī skaidrot, nevis norādīt uz ar to saistītu problēmu, bez potenciāla kontroles mehānisma, piemēram: "</w:t>
            </w:r>
            <w:r w:rsidR="00000000" w:rsidRPr="00000000" w:rsidDel="00000000">
              <w:rPr>
                <w:i w:val="1"/>
                <w:rtl w:val="0"/>
              </w:rPr>
              <w:t xml:space="preserve">Vienlaikus pastāv neliels risks, ka invazīvās sugas īpatnis pirms robežkontroles punkta tiek izlaists savvaļā un var iekļūt Latvijas teritorijā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nodrošināt pilnīgus projekta skaidrojumus, piemēram, tā 49. punkta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13.08.2026.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13.08.2026.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