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25-TA-902: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Pasta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neiebilst likumprojektā paredzētajiem grozījumiem, kas dotu iespēju pārskatīt universālā pasta pakalpojuma kvalitātes prasības, lai mazinātu ietekmi uz valsts budžetu saistībā ar universālā pasta pakalpojuma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anotācijas 3.sadaļas punktā “Cita informācija” sniegto informāciju, ka Satiksmes ministrijai piešķirto valsts budžeta līdzekļu apmērs ir nepietiekams, lai 2025., 2026. un 2027. gadā nodrošinātu visus Pasta likumā noteiktos pienākumus, vēršam uzmanību, ka valdības apstiprinātajā Latvijas Fiskāli strukturālā plāna 2025.-2028.gadam 2025.gada Progresa ziņojumā (MK 15.04.2025. sēdes prot. Nr. 15 36. §) 2025.gada vispārējās valdības budžeta deficīts tiek prognozēts 1 320 milj. euro jeb 3,1% no IKP apmērā, kas ir par 0,2 procentpunktiem augstāks nekā 2025.gada budžeta likumā, kā arī 2026.-2028. gada budžeta ietvara sagatavošanai indikatīvā fiskālā telpa ir negatīva, kas nozīmē, ka iespējas piešķirt papildu finansējumu ir ierobežotas. Turklāt jāņem vērā, ka valdība kā 2026.-2028. gada budžeta prioritātes ir noteikusi aizsardzību un demogrāfiju (MK 27.03.2025. rīkojums Nr.179), kā arī uzdevusi veikt publiskā sektora efektivizācijas un vispārējās valdības izdevumu samazinājumu 2026.-2028. gadā (MK 13.05.2025. sēdes prot. Nr.19 50. § 7.punkts), attiecīgi pasta pakalpojumu jautājumā </w:t>
            </w:r>
            <w:r w:rsidR="00000000" w:rsidRPr="00000000" w:rsidDel="00000000">
              <w:rPr>
                <w:u w:val="single"/>
                <w:rtl w:val="0"/>
              </w:rPr>
              <w:t xml:space="preserve">ir jāstrādā pie tādiem risinājumiem, lai izmaksas būtu iespējams segt Satiksmes ministrijai piešķirto līdzekļu ietvaros</w:t>
            </w:r>
            <w:r w:rsidR="00000000" w:rsidRPr="00000000" w:rsidDel="00000000">
              <w:rPr>
                <w:rtl w:val="0"/>
              </w:rPr>
              <w:t xml:space="preserve">, piedāvājot arī citus grozījumus normatīvajā regulējumā, piemēram, attiecībā uz abonētās preses piegādes pakalpojuma izmaksu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ailē “saskaņā ar valsts budžetu kārtējam gadam” un “saskaņā ar vidēja termiņa budžeta ietvaru” aizpildīt 2.1. apakšpunktu, norādot 6 957 500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25-TA-902</w:t>
    </w:r>
    <w:r>
      <w:br/>
    </w:r>
    <w:r w:rsidR="00000000" w:rsidRPr="00000000" w:rsidDel="00000000">
      <w:rPr>
        <w:rtl w:val="0"/>
      </w:rPr>
      <w:t xml:space="preserve">Izdrukāts 16.05.2025. 16.24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25-TA-902</w:t>
    </w:r>
    <w:r>
      <w:br/>
    </w:r>
    <w:r w:rsidR="00000000" w:rsidRPr="00000000" w:rsidDel="00000000">
      <w:rPr>
        <w:rtl w:val="0"/>
      </w:rPr>
      <w:t xml:space="preserve">Izdrukāts 16.05.2025. 16.24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Atzinumi_25-TA-902.docx</dc:title>
</cp:coreProperties>
</file>

<file path=docProps/custom.xml><?xml version="1.0" encoding="utf-8"?>
<Properties xmlns="http://schemas.openxmlformats.org/officeDocument/2006/custom-properties" xmlns:vt="http://schemas.openxmlformats.org/officeDocument/2006/docPropsVTypes"/>
</file>