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Gaisa pārvadātāja iesniegtos dokumentus glabā divus gadus no iesnieguma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 punktā precizēt, kas ir attiecīgā pienākuma subjekts, proti, kas (Aviācijas departaments) glabā gaisa pārvadātāja iesniegtos dokumentus divus gadus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normu, ņemot vērā, ka, piemēram, projekta IV. nodaļā nav runa par iesniegumu, bet gan paziņojumu (piemēram, šādi: "</w:t>
            </w:r>
            <w:r w:rsidR="00000000" w:rsidRPr="00000000" w:rsidDel="00000000">
              <w:rPr>
                <w:i w:val="1"/>
                <w:rtl w:val="0"/>
              </w:rPr>
              <w:t xml:space="preserve">[..] glabā divus gadus no iesnieguma vai paziņojuma saņemšanas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Regulārus gaisa pārvadājumus starp Latvijas Republiku un trešo valsti veic saskaņā ar starptautiskiem līgumiem gaisa transporta jomā, kuru dalībniece ir Latvijas Republika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"trešā valsts ir jebkura valsts, izņemot Eiropas Savienības dalībvalsti, Eiropas Ekonomikas zonas valsti un Šveices Konfederāciju", savukārt likumā "Par aviāciju" trešā valsts definēta kā valsts, kas nav Eiropas Savienības dalībvalsts vai Eiropas Ekonomikas zonas valsts. Vēršam uzmanību, ka anotācijai ir tikai tiesību akta projektu pamatojoša un paskaidrojoša nozīme, attiecīgi lūdzam izvērtēt termina "trešā valsts" lietošanas korektumu un attiecīgi konsekvenci ar likumā ietverto "trešās valsts" definīciju, kā arī atbilstoši precizēt projektu (piemēram, aicinām izvērtēt iespēju nelietot minēto terminu projektā)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Eiropas Parlamenta un Padomes 2004. gada 21. aprīļa Regulas (EK) </w:t>
            </w:r>
            <w:r w:rsidR="00000000" w:rsidRPr="00000000" w:rsidDel="00000000">
              <w:rPr>
                <w:rtl w:val="0"/>
              </w:rPr>
              <w:t xml:space="preserve">Nr.785/2004</w:t>
            </w:r>
            <w:r w:rsidR="00000000" w:rsidRPr="00000000" w:rsidDel="00000000">
              <w:rPr>
                <w:rtl w:val="0"/>
              </w:rPr>
              <w:t xml:space="preserve">, par apdrošināšanas prasībām, kas attiecas uz gaisa pārvadātājiem un gaisa kuģu ekspluatantiem (turpmāk - Regula Nr.785/2004) 7.pantā noteiktā gaisa kuģa apdrošināšanas sertifikāta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9.6., 16.7., 17.7., 23.5., 24.7. apakšpunktā ietverta atsauce uz korektu Eiropas Parlamenta un Padomes 2004. gada 21. aprīļa Regulas (EK) Nr.785/2004, par apdrošināšanas prasībām, kas attiecas uz gaisa pārvadātājiem un gaisa kuģu ekspluatantiem vienību, jo regulas 7. pantā, šķiet, nav runa par apdrošināšanas sertifikātu. Attiecīgi aicinām izvērtēt atsauces korektumu un sniegt skaidrojumu vai atsaukties uz atbilstošu regulas vienību (piemēram, aicinām izvērtēt iespēju atsaukties uz regulas 5. panta 1. punktu, attiecīgi izvērtējot un precizējot arī projekta 9.6. apakšpunktā minēto terminu "apdrošināšanas sertifikāts", ņemot vērā, ka regulas normā ir runa par "apdrošināšanas polisi vai citu derīgas apdrošināšanas pierādījumu"). Nepieciešamības gadījumā aicinām precizēt arī anotāciju, tostarp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pieteikumā norādīta apzināti nepatiesa informācija vai nav iesniegti visi nepieciešamie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11.4. apakšpunktā un 18. punktā termina "pieteikums" vietā lietot vārdu "iesniegums", savukārt projekta 23.1.2. un 24.1.2. apakšpunktā vārda "pieteikums" vietā lietot vārdu "paziņojums", ņemot vērā attiecīgo normu kontekstu (proti, normās ir runa par iesnieguma vai paziņojuma iesniegšanu), turklāt atbilstoši normatīvajiem aktiem pieteikumu iesniedz tiesā, bet iestādē vēršas ar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gaisa pārvadātājs, kas plāno pārvadāt kravu vai pārvadā kravu no trešās valsts, neatbilst Komisijas 2015. gada 5. novembra Īstenošanas Regulas (ES) </w:t>
            </w:r>
            <w:r w:rsidR="00000000" w:rsidRPr="00000000" w:rsidDel="00000000">
              <w:rPr>
                <w:rtl w:val="0"/>
              </w:rPr>
              <w:t xml:space="preserve">Nr.2015/1998</w:t>
            </w:r>
            <w:r w:rsidR="00000000" w:rsidRPr="00000000" w:rsidDel="00000000">
              <w:rPr>
                <w:rtl w:val="0"/>
              </w:rPr>
              <w:t xml:space="preserve"> , ar ko nosaka sīki izstrādātus pasākumus kopīgu pamatstandartu īstenošanai aviācijas drošības jomā (turpmāk- Regula Nr.2015/1998) pielikuma 6.8. sadaļā noteiktām prasībām (ACC3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11.7. apakšpunktā ietvertā vispārīgā norāde uz trešo valsti ir pilnībā korekta, ņemot vērā normā minētās regulas pielikuma 6.8.1.1. apakšpunktu un anotācijā norādīto ("</w:t>
            </w:r>
            <w:r w:rsidR="00000000" w:rsidRPr="00000000" w:rsidDel="00000000">
              <w:rPr>
                <w:i w:val="1"/>
                <w:rtl w:val="0"/>
              </w:rPr>
              <w:t xml:space="preserve">Jebkuram gaisa pārvadātājam, kurš no Komisijas 2015. gada 5. novembra Īstenošanas regulas (ES) 2015/1998, ar ko nosaka sīki izstrādātus pasākumus kopīgu pamatstandartu īstenošanai aviācijas drošības jomā, </w:t>
            </w:r>
            <w:r w:rsidR="00000000" w:rsidRPr="00000000" w:rsidDel="00000000">
              <w:rPr>
                <w:i w:val="1"/>
                <w:u w:val="single"/>
                <w:rtl w:val="0"/>
              </w:rPr>
              <w:t xml:space="preserve">6.Fi vai 6.Fii papildinājumā neuzskaitītas trešās valsts</w:t>
            </w:r>
            <w:r w:rsidR="00000000" w:rsidRPr="00000000" w:rsidDel="00000000">
              <w:rPr>
                <w:i w:val="1"/>
                <w:rtl w:val="0"/>
              </w:rPr>
              <w:t xml:space="preserve"> lidostas pārvadā kravu vai pastu transfēram, tranzītam vai izkraušanai jebkurā lidostā, kas ietilpst Regulas (EK) Nr. 300/2008 darbības jomā, viena no šīm iestādēm attiecīgi piešķir apzīmējumu “gaisa kravas vai pasta pārvadātājs, kas veic pārvadājumus uz Savienību no trešās valsts lidostas” (ACC3)</w:t>
            </w:r>
            <w:r w:rsidR="00000000" w:rsidRPr="00000000" w:rsidDel="00000000">
              <w:rPr>
                <w:rtl w:val="0"/>
              </w:rPr>
              <w:t xml:space="preserve">"). Attiecīgi aicinām izvērtēt, vai norāde ir korekta un nav pārāk plaša, kā arī nepieciešamības gadījumā normu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anotācijā sniegtos skaidrojumus, ņemot vērā, ka uz atkārtoto saskaņošanu projektā vairs nav ietverti pielikumi (sk., piemēram, norādi: "T</w:t>
            </w:r>
            <w:r w:rsidR="00000000" w:rsidRPr="00000000" w:rsidDel="00000000">
              <w:rPr>
                <w:i w:val="1"/>
                <w:rtl w:val="0"/>
              </w:rPr>
              <w:t xml:space="preserve">ā kā Noteikumu projekts attiecas uz juridiskām personām, tad aptuveni 80% no </w:t>
            </w:r>
            <w:r w:rsidR="00000000" w:rsidRPr="00000000" w:rsidDel="00000000">
              <w:rPr>
                <w:i w:val="1"/>
                <w:u w:val="single"/>
                <w:rtl w:val="0"/>
              </w:rPr>
              <w:t xml:space="preserve">pielikumos</w:t>
            </w:r>
            <w:r w:rsidR="00000000" w:rsidRPr="00000000" w:rsidDel="00000000">
              <w:rPr>
                <w:i w:val="1"/>
                <w:rtl w:val="0"/>
              </w:rPr>
              <w:t xml:space="preserve"> norādītās informācijas ir jāsniedz par juridiskām personām.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punktu numerācijas izmaiņas, aicinām precizēt anotācijas 5.4. sadaļas 1. tabulā informāciju attiecībā uz Eiropas Parlamenta un Padomes 2005. gada 14. decembra Regulas (EK) Nr. 2111/2005 par darbības aizliegumam Kopienā pakļauto gaisa pārvadātāju Kopienas saraksta izveidi un gaisa transporta pasažieru informēšanu par apkalpojošā gaisa pārvadātāja identitāti un par Direktīvas 2004/36/EK 9. panta atcelšanu, normu ieviešanu (proti, norādes uz projekta 9.5; 20.6. un 28.4. apakšpunktu vietā ietvert norādi uz projekta 11.5., 21.6., 28.4.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tabulu attiecībā uz Komisijas 2014. gada 29. aprīļa Regulas (ES) Nr. 452/2014, ar ko nosaka tehniskās prasības un administratīvās procedūras gaisa kuģu ekspluatācijai, ko veic trešo valstu ekspluatanti saskaņā ar Eiropas Parlamenta un Padomes Regulu (EK) Nr. 216/2008, ieviešanu,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7.4. apakšpunkta, 9.6. apakšpunktā, 14.4.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normas, kurās ir atsauce nevis uz 3. pantu, bet uz 2. pielikumu, attiecīgi aicinām precizēt tabulu (projekta 9.4., 16.4., 17.4. un 24.4.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ir vēl normas, kurās ietvertas atsauces uz minētās regulas normām, kuras nav minētas tabulā (piemēram, projekta 11.6., 17.4., 21.4.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ņemot vērā numerācijas izmaiņas, novērst neprecizitātes attiecībā uz citu tabulā minēto regulu vienību ieviešanu attiecīgās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07.07.2023.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07.07.2023.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Atzinumi_23-TA-297.docx</dc:title>
</cp:coreProperties>
</file>

<file path=docProps/custom.xml><?xml version="1.0" encoding="utf-8"?>
<Properties xmlns="http://schemas.openxmlformats.org/officeDocument/2006/custom-properties" xmlns:vt="http://schemas.openxmlformats.org/officeDocument/2006/docPropsVTypes"/>
</file>