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finanšu tehnoloģiju sektora attīstības stratēģija 2025-2027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to, ka uzdevuma "4.3.2.3. Atļaut nebanku finanšu pakalpojumu sniedzējiem, tostarp kriptoaktīvu pakalpojumu sniedzējiem, piedalīties nodokļu nomaksas procedūrā kā finanšu starpniekiem" galvenā atbildīgā ministrija tiek noteikta VARAM. Vēršam uzmanību, ka VARAM nenosaka politiku un nepārvalda nodokļu nomaksas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Guds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stratēģijā digitālās piekļūstamības veicināšanas aspektus,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piekļūstamības standartu ievērošanu augstākajā līmenī FinTech pakalpojumu digitālajām saskarnēm (piemēram, tabulas 4.3.2.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programmās iekļaut digitālās piekļūstamības pamatprincipus, lai nodrošinātu, ka finanšu sektora darbinieki un izstrādātāji ievēro universālā dizaina prasības (piemēram, tabulas 4.4.3.3.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08.09.2025.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08.09.2025.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Atzinumi_25-TA-1771.docx</dc:title>
</cp:coreProperties>
</file>

<file path=docProps/custom.xml><?xml version="1.0" encoding="utf-8"?>
<Properties xmlns="http://schemas.openxmlformats.org/officeDocument/2006/custom-properties" xmlns:vt="http://schemas.openxmlformats.org/officeDocument/2006/docPropsVTypes"/>
</file>