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apakšsadaļu "Risinājuma apraksts" ar informāciju, ka par piemēroto finanšu korekciju 2% apmērā, par darba spēka produktivitātes pieauguma rādītāju nesasniegšanu, Finansējuma saņēmējam jāinformē Centrālo finanšu un līgumu aģentūru, kas attiecīgi piemēro finanšu korekciju Finansējuma saņēmēja attiecinātajiem izdevumiem piemērotās finanšu korekcijas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(Sanda Blumberga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izvērtējumu par  noteikumu projektā paredzēto grozījumu ietekmi uz uzsākto projektu iesniegumu atlasi, projekta iesniedzēju un  vai būs nepieciešami grozījumi projekta iesniegumā vai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ietvert informāciju, ka ir plānota projektu iesniedzēja informēšana par grozījumiem pēc to apstiprināšanas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 (Sanda Blumberga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r w:rsidR="00000000" w:rsidRPr="00000000" w:rsidDel="00000000">
              <w:rPr>
                <w:vertAlign w:val="superscript"/>
                <w:rtl w:val="0"/>
              </w:rPr>
              <w:t xml:space="preserve">3</w:t>
            </w:r>
            <w:r w:rsidR="00000000" w:rsidRPr="00000000" w:rsidDel="00000000">
              <w:rPr>
                <w:rtl w:val="0"/>
              </w:rPr>
              <w:t xml:space="preserve"> Ja gala labuma guvējs, iesniedzot noslēguma atskaiti un divus gadus pēc tās iesniegšanas Finansējuma saņēmējam, nevar pierādīt darba spēka produktivitātes pieaugumu, Finansējuma saņēmējs piemēro 2 % korekciju no kopējā piešķirtā atbalsta apjoma, kuru gala labuma guvējs atmaksā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anotācijā skaidrot, kāds dokuments noteikumu projekta 77.3(prim).apakšpunktā uzskatāms kā pierādījums, kas pamato noteikto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Zīlītis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27.11.2023. 19.29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27.11.2023. 19.29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Atzinumi_23-TA-2977.docx</dc:title>
</cp:coreProperties>
</file>

<file path=docProps/custom.xml><?xml version="1.0" encoding="utf-8"?>
<Properties xmlns="http://schemas.openxmlformats.org/officeDocument/2006/custom-properties" xmlns:vt="http://schemas.openxmlformats.org/officeDocument/2006/docPropsVTypes"/>
</file>