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informāciju par muitas noliktavu, ja komersants paredz izmantot šādu noliktavu stratēģiskas nozīmes preču uzglabāšanai;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izvērtēt normas juridisko slodzi, jo muitas noliktavu atļaujās jau ilgstoši netiek veikts specifisks ieraksts par atļauju veikt stratēģiskas nozīmes preču uzglabāšanu tajās. Tādejādi, ja muitas noliktavā, saskaņā ar tai izsniegtās atļaujas nosacījumiem, var tikt uzglabātas rūpniecības preces, tajā var uzglabāt arī stratēģiskas nozīmes preces. Papildus informējam, ka ārpussavienības preces var tikt uzglabātas ne tikai muitas noliktavās, bet arī pagaidu uzglabāšanas vietās un brīvajās zonās. Kā arī kopš Ministru kabineta noteikumu izdošanas brīža (2012.gada) VID vēl nav saņēmis nevienu Aizsardzības ministrijas pieprasījumu par muitas noliktavām.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Laine Paspārne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30.11.2022.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30.11.2022.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Atzinumi_22-TA-2825.docx</dc:title>
</cp:coreProperties>
</file>

<file path=docProps/custom.xml><?xml version="1.0" encoding="utf-8"?>
<Properties xmlns="http://schemas.openxmlformats.org/officeDocument/2006/custom-properties" xmlns:vt="http://schemas.openxmlformats.org/officeDocument/2006/docPropsVTypes"/>
</file>