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ja vien nav pierādījumu, kas liecina, ka attiecīgās izejvielas ražošana nav pretrunā ar šai teritorijai noteiktajiem dabas aizsardzības mērķiem un lietošanas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atsaucei uz "lietošanas noteikumiem", ņemot vērā, ka Eiropas Parlamenta un Padomes 2023. gada  18. oktobra Direktīvas , ar ko attiecībā uz atjaunīgo energoresursu enerģijas izmantošanas veicināšanu groza Direktīvu (ES) 2018/2001, Regulu (ES) 2018/1999 un Direktīvu 98/70/EK un atceļ Padomes Direktīvu (ES) 2015/652, vienībā, kura tiek pārņemta, norādīts vienīgi uz dabas aizsardzības mērķi. Nepieciešamības gadījumā lūdzam precizēt noteikumu projekta 1.29.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anotācijā sniegt skaidrojumu par papildus minētajā direktīvā iekļautiem nosacījumiem arī citos gadījumos. Piemēram, noteikumu projekta 1.37. un 1.42. apakšpunktā papildus direktīvā minētajam norādīts uz kvalificējošām pazīmēm - </w:t>
            </w:r>
            <w:r w:rsidR="00000000" w:rsidRPr="00000000" w:rsidDel="00000000">
              <w:rPr>
                <w:u w:val="single"/>
                <w:rtl w:val="0"/>
              </w:rPr>
              <w:t xml:space="preserve">paliekošu</w:t>
            </w:r>
            <w:r w:rsidR="00000000" w:rsidRPr="00000000" w:rsidDel="00000000">
              <w:rPr>
                <w:rtl w:val="0"/>
              </w:rPr>
              <w:t xml:space="preserve"> nelabvēlīgu ietekmi uz augsnes kvalitāti, uz augsnes sablīvēšanos (proti, direktīvas vienībā, kura tiek pārņemta, nav norādīts uz paliekošu ietekmi), kā arī uz  </w:t>
            </w:r>
            <w:r w:rsidR="00000000" w:rsidRPr="00000000" w:rsidDel="00000000">
              <w:rPr>
                <w:u w:val="single"/>
                <w:rtl w:val="0"/>
              </w:rPr>
              <w:t xml:space="preserve">būtisku</w:t>
            </w:r>
            <w:r w:rsidR="00000000" w:rsidRPr="00000000" w:rsidDel="00000000">
              <w:rPr>
                <w:rtl w:val="0"/>
              </w:rPr>
              <w:t xml:space="preserve"> nelabvēlīgu ietekmi uz bioloģiskās daudzveidības elementiem un dzīvotnēm (proti, direktīvas vienībā, kura tiek pārņemta, nav norādīts uz nelabvēlīgās ietekmes būtiskumu).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33. </w:t>
            </w:r>
            <w:r w:rsidR="00000000" w:rsidRPr="00000000" w:rsidDel="00000000">
              <w:rPr>
                <w:rtl w:val="0"/>
              </w:rPr>
              <w:t xml:space="preserve">punkts</w:t>
            </w:r>
            <w:r w:rsidR="00000000" w:rsidRPr="00000000" w:rsidDel="00000000">
              <w:rPr>
                <w:rtl w:val="0"/>
              </w:rPr>
              <w:t xml:space="preserve"> ir spēkā līdz Transporta enerģijas likuma spēkā stāšanās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1.90. apakšpunktu un nepieciešamības gadījumā citas vienības, un noteikumu projektu virzīt apstiprināšanai Ministru kabinetā tikai pēc tam, kad likumprojekts "Transporta enerģijas likums" (Nr.660/Lp14) tiks Saeimā pieņemts 3. lasījumā un Valsts prezidents to izsludinājis, ņemot vērā, ka likumprojektā vēl var izdarīt izmaiņas, un Ministru kabinets noteikumus izdod vienīgi atbilstoši likumā dotajam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01.08.2025.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