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 jūlija noteikumos Nr. 458 "Komersantu - darbiekārtošanas pakalpojumu sniedzēju - licencēšanas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2006. gada 28. decembra Direktīvas 2006/123/EK par pakalpojumiem iekšējā tirgū (Pakalpojumu direktīva) 39. panta 5. punktā tiek noteikts, ka  ES dalībvalstīm ir pienākums paziņot EK un citām ES dalībvalstīm tehnisko noteikumu projektus, kas paredz jebkādas izmaiņas prasībās pakalpojumu sniedzējiem, tostarp jaunām prasībām, kā arī to iemeslu. Ņemot vērā minēto, uzturam iepriekš izteikto iebildumu par to, ka noteikumu projekts ir uzskatāms par tehnisko noteikumu projektu, jo tas paredz jaunas prasības darbiekārtošanās pakalpojumu sniedzējiem, un tas atbilstoši Pakalpojumu direktīvas 39. pantā un Brīvas pakalpojumu sniegšanas likuma 15. panta septītajā daļā noteiktajam ir jāpaziņo Eiropas Komisijai un ES dalībvalstīm komentāru 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panta un Brīvas pakalpojumu sniegšanas likuma 15. pantā septītajā 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28.02.2024.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28.02.2024.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Atzinumi_24-TA-56.docx</dc:title>
</cp:coreProperties>
</file>

<file path=docProps/custom.xml><?xml version="1.0" encoding="utf-8"?>
<Properties xmlns="http://schemas.openxmlformats.org/officeDocument/2006/custom-properties" xmlns:vt="http://schemas.openxmlformats.org/officeDocument/2006/docPropsVTypes"/>
</file>