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Tiesībsarga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Tiesībsarga likumā (Latvijas Republikas Saeimas un Ministru Kabineta Ziņotājs, 2006, 10. nr.; 2008, 13. nr.; 2009, 2., 14. nr.; Latvijas Vēstnesis, 2009, 193. nr.; 2011, 103. nr.; 2014, 199. nr.; 2021, 16.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Birojs) konceptuāli atbalsta grozījumu veikšanu Tiesībsarga likumā, nosakot tiesībsarga pilnvaras Eiropas Parlamenta un Padomes 2024.gada 13. jūnija regulas Nr.2024/1689, ar ko nosaka saskaņotas normas mākslīgā intelekta jomā (un groza Regulas (EK) Nr.300/2008, (ES) Nr.167/2013, (ES) Nr.168/2013, (ES) 2018/858, (ES) 2018/1139 un (ES) 2019/2144 un Direktīvas 2014/90/ES, (ES) 2016/797 un (ES) 2020/1828 un citu mākslīgā intelekta jomu regulējošo tiesību aktu prasību izpildei. Vienlaikus Birojs vērš uzmanību, ka 2025.gada 6.martā ir pieņemti un 2.aprīlī stājušies spēkā grozījumi Tiesībsarga likumā, ar kuriem cita starpā papildinātas Tiesībsarga likuma 13. pantā tiesībsargam noteiktās tiesības, proti, minētais pants papildināts ar 13. un 14.punktu, kā arī precizēta Tiesībsarga likuma 27. panta pirmā daļa. Ņemot vērā minēto, aicinām izvērtēt iespēju precizēt likumprojektu un tā anotāciju, jo pirmsšķietami, izstrādājot likumprojektu, nav ņemtas vērā šobrīd spēkā esošās Tiesībsarga likuma attiecīgo normu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Ilvija Ābele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25.04.2025.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25.04.2025.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Atzinumi_25-TA-548.docx</dc:title>
</cp:coreProperties>
</file>

<file path=docProps/custom.xml><?xml version="1.0" encoding="utf-8"?>
<Properties xmlns="http://schemas.openxmlformats.org/officeDocument/2006/custom-properties" xmlns:vt="http://schemas.openxmlformats.org/officeDocument/2006/docPropsVTypes"/>
</file>