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24-TA-1532: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2.1.1. specifiskā atbalsta mērķa “Energoefektivitātes veicināšana un siltumnīcefekta gāzu emisiju samazināšana”  2.1.1.6. pasākuma “Pašvaldību ēku energoefektivitātes paaugstināšana”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projektu īsteno atbilstoši šo noteikumu 15. vai 17. punktam, projekta iesniedzējs iesniedz sadarbības iestādē vispārējas tautsaimnieciskas nozīmes pakalpojuma pilnvarojuma uzlicēja apliecinājumu par šo noteikumu 15.6. apakšpunktā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 Ja projektu īsteno atbilstoši šo noteikumu 16. punktam, projekta iesniedzējs kopā ar projekta iesniegumu iesniedz apliecinājumu par sabiedriskajiem ūdenssaimniecības pakalpojumiem paredzēto kopējo maksājumu kontroli un pārskatīšanu, kā arī atlīdzības (kompensācijas) maksājumu pārmaksas novēršanu un atgūšanu, ievērojot Eiropas Komisijas lēmumā Nr.  2012/21/ES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punktā norādīta atsauce uz </w:t>
            </w:r>
            <w:r w:rsidR="00000000" w:rsidRPr="00000000" w:rsidDel="00000000">
              <w:rPr>
                <w:i w:val="1"/>
                <w:rtl w:val="0"/>
              </w:rPr>
              <w:t xml:space="preserve">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w:t>
            </w:r>
            <w:r w:rsidR="00000000" w:rsidRPr="00000000" w:rsidDel="00000000">
              <w:rPr>
                <w:rtl w:val="0"/>
              </w:rPr>
              <w:t xml:space="preserve">(turpmāk - Lēmums). Saistībā ar minēto vēršam uzmanību,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2. pants noteic, ka šo lēmumu piemēro valsts atbalstam attiecībā uz kompensāciju par sabiedrisko pakalpojumu sniegšanu, kas piešķirta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13. pants noteic, ka šis lēmums ir adresēts dalībvalstīm. Ievērojot minēto, šajā gadījumā nepieciešams izvērtēt, vai Lēmums satur tādas normas, kas attiecināmas arī uz privātpersonām. Ja Lēmums šādas normas satur, tad lūdzam tās pārņemt noteikumu projektā un attiecīgi precizēt noteikumu projekta 21. punktu, svītrojot atsauci uz Lēmumu. Ja Lēmums nesatur normas, kas jāattiecina uz privātpersonām, un Lēmumu var tieši izpildīt valsts iestādes, tad arī šādā gadījumā noteikumu projekta 21. punktā atsauce uz Lēmumu svītrojama, jo atbilstoši Ministru kabineta 2009. gada 3. februāra noteikumu Nr. 108 "Normatīvo aktu projektu sagatavošanas noteikumi" 170.-172. punktam normatīvā akta tekstā atsauces raksta tikai uz Eiropas Savienības regulām.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Skat. arī Eiropas Savienības tiesību ieviešanas rokasgrāmatas 2.8. apakšnodaļu „Lēmumu ieviešana”, 48. lp., pieejama: https://www.tm.gov.lv/lv/es-tiesibu-ieviesana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dzīves cikls ir 15 gadi saules elektrostacijas uzstādīšanas gadījumā. Uzstādot citu atjaunīgos energoresursus izmantojošu elektroenerģiju ražojošu tehnoloģiju projekta dzīves ciklu nosaka atbilstoši iekārtu lietderīgās kalpošanas ilgumam.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26.3. apakšpunkta redakcijas nav izsecināms visu elektroenerģiju ražojošu tehnoloģiju projektu dzīves cikls, jo to nosaka atbilstoši iekārtu lietderīgās kalpošanas ilgumam. Ņemot vērā minēto, lūdzam noteikumu projekta anotācijā skaidrot, kā (pēc kādiem kritērijiem) tiks vērtēts punktā minēto iekārtu lietderīgās kalpošanas ilgums un projekta dzīves cikls.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kāpēc saules elektrostacijas uzstādīšanas gadījumā dzīves cikls ir noteikts tieši 15 gadi, bet, uzstādot citu atjaunīgos energoresursus izmantojošu elektroenerģiju ražojošu tehnoloģiju, projekta dzīves ciklu nosaka atbilstoši iekārtu lietderīgās kalpošanas ilgumam.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24-TA-1532</w:t>
    </w:r>
    <w:r>
      <w:br/>
    </w:r>
    <w:r w:rsidR="00000000" w:rsidRPr="00000000" w:rsidDel="00000000">
      <w:rPr>
        <w:rtl w:val="0"/>
      </w:rPr>
      <w:t xml:space="preserve">Izdrukāts 12.08.2024. 11.18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24-TA-1532</w:t>
    </w:r>
    <w:r>
      <w:br/>
    </w:r>
    <w:r w:rsidR="00000000" w:rsidRPr="00000000" w:rsidDel="00000000">
      <w:rPr>
        <w:rtl w:val="0"/>
      </w:rPr>
      <w:t xml:space="preserve">Izdrukāts 12.08.2024. 11.18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Atzinumi_24-TA-1532.docx</dc:title>
</cp:coreProperties>
</file>

<file path=docProps/custom.xml><?xml version="1.0" encoding="utf-8"?>
<Properties xmlns="http://schemas.openxmlformats.org/officeDocument/2006/custom-properties" xmlns:vt="http://schemas.openxmlformats.org/officeDocument/2006/docPropsVTypes"/>
</file>