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Finansējuma saņēmējs nodrošina komunikācijas un vizuālās identitātes prasību nodrošināšanas pasākumus saskaņā ar regulas 2021/1060 47. un 50. 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36. punktā norādīta atsauce uz nesaistošiem dokumentiem (vadlīnijām). Ņemot vērā minēto, lūdzam noteikumu projektā svītrot atsauces uz nesaistošiem dokumentiem (vadlīnijām) un minēto informāciju lūdzam norādīt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komunikācijas un vizuālās identitātes prasību nodrošināšanas pasākumus saskaņā ar regulas 2021/1060 47. un 50. pantu un normatīvajiem aktiem par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03.06.2024. 20.13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03.06.2024. 20.13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Atzinumi_24-TA-602.docx</dc:title>
</cp:coreProperties>
</file>

<file path=docProps/custom.xml><?xml version="1.0" encoding="utf-8"?>
<Properties xmlns="http://schemas.openxmlformats.org/officeDocument/2006/custom-properties" xmlns:vt="http://schemas.openxmlformats.org/officeDocument/2006/docPropsVTypes"/>
</file>