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23-TA-1813: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2014. gada 7. janvāra noteikumos Nr. 14 "Nevalstisko organizāciju un Ministru kabineta sadarbības memoranda īstenošanas padomes nolikums"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 Tiesību akta projekta ietekme uz valsts budžetu un pašvaldību budžetiem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precizēt anotācijas 3.sadaļas punktā “Cita informācija” sniegto informāciju, norādot, ka noteikumu projektā paredzētais tiks nodrošināts likumā </w:t>
            </w:r>
            <w:r w:rsidR="00000000" w:rsidRPr="00000000" w:rsidDel="00000000">
              <w:rPr>
                <w:u w:val="single"/>
                <w:rtl w:val="0"/>
              </w:rPr>
              <w:t xml:space="preserve">“Par valsts budžetu 2024. gadam un budžeta ietvaru 2024., 2025. un 2026. gadam”</w:t>
            </w:r>
            <w:r w:rsidR="00000000" w:rsidRPr="00000000" w:rsidDel="00000000">
              <w:rPr>
                <w:rtl w:val="0"/>
              </w:rPr>
              <w:t xml:space="preserve"> resora “Ministru kabinets” prioritārā pasākuma “Pilsoniskā dialoga platformas izveide, stiprinot Nevalstisko organizāciju un Ministru kabineta sadarbības memoranda īstenošanas padomes darbību” piešķirto līdzekļu ietvaros.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Zinta Vilcāne (FM)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23-TA-1813</w:t>
    </w:r>
    <w:r>
      <w:br/>
    </w:r>
    <w:r w:rsidR="00000000" w:rsidRPr="00000000" w:rsidDel="00000000">
      <w:rPr>
        <w:rtl w:val="0"/>
      </w:rPr>
      <w:t xml:space="preserve">Izdrukāts 20.08.2024. 14.36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23-TA-1813</w:t>
    </w:r>
    <w:r>
      <w:br/>
    </w:r>
    <w:r w:rsidR="00000000" w:rsidRPr="00000000" w:rsidDel="00000000">
      <w:rPr>
        <w:rtl w:val="0"/>
      </w:rPr>
      <w:t xml:space="preserve">Izdrukāts 20.08.2024. 14.36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Atzinumi_23-TA-1813.docx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