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Ieguldītāju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Ieguldītāju aizsardzības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66. punkts paredz iespēju rīkot ne tikai atkārtotu elektronisku saskaņošanu, bet arī sasaukt kopīgu starpinstitūciju sanāksmi. Ņemot vērā minēto, ierosinām turpmāk apsvērt iespēju organizēt kopīgu starpinstitūciju sanāksmi par izteiktajiem iebildumiem un priekšlikumiem, lai nodrošinātu iespēju apmainīties ar viedokļiem efektīvāk, kā arī diskusijas rezultātā ātrāk nonāk pie kompromisa, kas apmierina visas saskaņošanā iesaistītās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precizēt 5. panta divpadsmito daļu, jo pienākums atmaksāt nepamatoti izmaksāto kompensāciju ir paredzēts šā panta vienpadsmitajā daļā, nevis pirmajā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V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V nodaļa</w:t>
            </w:r>
            <w:r w:rsidR="00000000" w:rsidRPr="00000000" w:rsidDel="00000000">
              <w:rPr>
                <w:b w:val="1"/>
                <w:rtl w:val="0"/>
              </w:rPr>
              <w:t xml:space="preserve">Atbildība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var piemērot šā panta pirmās daļas 1., 2. un 4. punktā noteiktās sankcijas un šā panta otrajā daļā noteikto administratīvo pasākumu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sagatavot, apstrādāt un iesniegt Latvijas Bankai kompensāciju izmaksas nodrošināšanai un informācijas administrēšanai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var piemērot naudas sodu no 1000 līdz 10 000 euro par sistēmas dalībnieka pienākuma neizpildi sagatavot, apstrādāt un iesniegt Latvijas Bankai informāciju, kas nepieciešama kompensāciju izmaksu nodrošināšanai un informācijas administrēšanai.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Publisks paziņojums ir paziņojums, kurā norādīta par pārkāpumu atbildīgā juridiskā persona un pārkāpuma būtība. Publisku paziņojumu var piemērot papildus šā panta pirmās daļas 1., 3. un 4. punktā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Bankai var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 pants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ierosināt lietu ne vēlāk kā piecu gadu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un administratīvo pasākumu piemērošanu Latvijas Banka var pieņemt divu gadu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izbeidz lietu, ja šā panta trešajā daļā noteiktajā termiņā nav pieņemts lēmums par šajā likumā noteikto sankciju un administratīvo pasākumu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informāciju par sankcijām un administratīvo pasākumu, kas piemēroti par pārkāpumu atbildīgajām juridiskajām personām, pēc tam, kad tā ir paziņota adresātam, ievieto savā tīmekļvietnē, norādot ziņas par personu un tās izdarīto pārkāpumu, kā arī par Latvijas Bankas izdotā administratīvā akta pārsūdzēšanu un pieņemto nolēmumu.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šā panta pirmajā daļā minēto informāciju ievieto tīmekļvietnē, neidentificējot juridisko personu, ja konstatē, ka juridiskās personas datu atklāšana, kurai piemērota sankcija vai administratīvais pasākums, nav samērīga vai arī juridiskās personas datu atklāšana var apdraudēt finanšu tirgus stabilitāti, uzsākta kriminālprocesa norisi vai radīt nesamērīgu kaitējumu iesaistītajām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Bankas tīmekļvietnē ievietotā informācija ir pieejama piecus gadus no tās ievietošanas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Tieslietu ministrijas ierosinājumu svītrot no 20.panta otrās daļas redakcijas vārdu “šādu”, jo tas ir lieks.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administratīvo pasākumu - pieprasīt, lai par pārkāpumu atbildīgā juridiskā persona izbeidz attiecīgo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04.08.2023.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04.08.2023.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Atzinumi_22-TA-1524.docx</dc:title>
</cp:coreProperties>
</file>

<file path=docProps/custom.xml><?xml version="1.0" encoding="utf-8"?>
<Properties xmlns="http://schemas.openxmlformats.org/officeDocument/2006/custom-properties" xmlns:vt="http://schemas.openxmlformats.org/officeDocument/2006/docPropsVTypes"/>
</file>