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Latvijas Republikas valsts robežas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Latvijas Republikas valsts robežas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paredzēts izņēmums no pienākuma reģistrēt transportlīdzekli Elektroniskajā ārējās sauszemes robežšķērsošanas iepriekšējās pieteikšanās un rindas progresa sistēmā diplomātisko un konsulāro pārstāvniecību darbiniekiem, tā pat arī anotācija nav skaidrots, kā šī prasība ietekmētu diplomātisko un konsulāro pārstāvniecību darbiniekus, kuriem nepieciešams šķērsot valsts robežu. Atbilstoši 1961. gada Vīnes konvencijai par diplomātiskajiem sakariem Latvijai ir pienākums nodrošināt pārvietošanas brīvību Latvijā akreditētajiem diplomātisko un konsulāro pārstāvniecību darbiniekiem un viņu ģimenes locekļiem un jāgarantē tranzīta brīvība ārvalstu pārstāvniecību darbiniekiem un viņu ģimenes locekļiem, kas dodas ieņemt savu amatu vai atgriežas uz savu dienesta vietu vai arī uz savu valsti. Arī Latvijas Republikas valsts robežas likumā ir paredzēts īpašs režīms attiecībā uz minēto personu loku, kur 10.panta 10.daļas 2) punktā ir noteikts, ka šķērsot ārējo robežu robežšķērsošanas vietās ārpus kārtas drīkst personas ar diplomātiskajām, Eiropas Komisijas vai Apvienoto Nāciju Organizācijas pasēm, savukārt 4) punktā noteikts, ka šķērsot ārējo robežu robežšķērsošanas vietās ārpus kārtas arī drīkst personas, kuras šķērso valsts robežu ar diplomātiskajiem reģistrācijas numuriem. Tā pat Ārlietu ministrija vēlas vērst uzmanību uz to, ka izņēmumi attiecībā uz diplomātisko un konsulāro pārstāvniecību darbiniekiem Ārlietu ministrijas piedāvātā redakcijā pēdējā laikā ir iekļauti arī citos likumos (Ceļu satiksmes likums) un likumprojektos (Grozījumi Imigrācijas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reģistrēt transportlīdzekli Elektroniskajā ārējās sauszemes robežšķērsošanas iepriekšējās pieteikšanās un rindas progresa sistēmā neattiecas uz transportlīdzekli, kas ir tādas personas rīcībā uz kuru attiecas Latvijas Republikas valsts robežas likuma 10.panta 10.daļa vai tādas personas īpašumā vai turējumā, kura dodas īstermiņa braucienā, tostarp tranzītā, oficiālo funkciju veikšanai vai tehniskā atbalsta nodrošināšanai Latvijas vai ārvalstu diplomātiskajai vai konsulārajai pārstāvniecībai vai starptautiskai organizācijai.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14.01.2025.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14.01.2025.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Atzinumi_24-TA-2478.docx</dc:title>
</cp:coreProperties>
</file>

<file path=docProps/custom.xml><?xml version="1.0" encoding="utf-8"?>
<Properties xmlns="http://schemas.openxmlformats.org/officeDocument/2006/custom-properties" xmlns:vt="http://schemas.openxmlformats.org/officeDocument/2006/docPropsVTypes"/>
</file>