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6</w:t>
            </w:r>
            <w:r w:rsidR="00000000" w:rsidRPr="00000000" w:rsidDel="00000000">
              <w:rPr>
                <w:rtl w:val="0"/>
              </w:rPr>
              <w:t xml:space="preserve"> Mērķdotāciju, kas pašvaldību speciālās izglītības iestādēm, kuras nodrošina internāta pakalpojumu, samazināta saskaņā ar šo noteikumu </w:t>
            </w:r>
            <w:r w:rsidR="00000000" w:rsidRPr="00000000" w:rsidDel="00000000">
              <w:rPr>
                <w:rtl w:val="0"/>
              </w:rPr>
              <w:t xml:space="preserve">18.</w:t>
            </w:r>
            <w:r w:rsidR="00000000" w:rsidRPr="00000000" w:rsidDel="00000000">
              <w:rPr>
                <w:vertAlign w:val="superscript"/>
                <w:rtl w:val="0"/>
              </w:rPr>
              <w:t xml:space="preserve">4</w:t>
            </w:r>
            <w:r w:rsidR="00000000" w:rsidRPr="00000000" w:rsidDel="00000000">
              <w:rPr>
                <w:rtl w:val="0"/>
              </w:rPr>
              <w:t xml:space="preserve"> punktu</w:t>
            </w:r>
            <w:r w:rsidR="00000000" w:rsidRPr="00000000" w:rsidDel="00000000">
              <w:rPr>
                <w:rtl w:val="0"/>
              </w:rPr>
              <w:t xml:space="preserve">, ministrija sadala, pamatojoties uz sistēmā esošo informāciju par izglītojamo skaitu 2026. gada 1. septembrī speciālās izglītības iestādēs, kuras nodrošina internāta pakalpojumu, un novirza šo izglītības iestāžu uzturēšanas izdevumu segšanai no 2026. gada 1. septembra līdz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speciālās izglītības iestāžu uzturēšanas finansējuma palielināšanu no 2026. gada 1. septembra līdz 31. decembrim. Risinājumam ir jābūt ilgtspējīgam, lai arī turpmākajos gados paredzētie grozījumi noteikumos Nr.477 minētajām iestādēm būtu nodrošināti ar finanšu resursiem.  Ņemot vērā minēto, finansējums speciālās izglītības iestāžu uzturēšanas izdevumu nodrošināšanai 2027. gadam un turpmāk ir nodrošināms Izglītības un zinātnes ministrijas budžetā piešķirto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Runkovska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26.08.2026. 10.29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26.08.2026. 10.29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Atzinumi_26-TA-1107.docx</dc:title>
</cp:coreProperties>
</file>

<file path=docProps/custom.xml><?xml version="1.0" encoding="utf-8"?>
<Properties xmlns="http://schemas.openxmlformats.org/officeDocument/2006/custom-properties" xmlns:vt="http://schemas.openxmlformats.org/officeDocument/2006/docPropsVTypes"/>
</file>