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Enerģijas lietotāju apgādes kārtība izsludinātas enerģētiskās krīzes laikā un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Nacionālo bruņoto spēku, Valsts ugunsdzēsības un glābšanas dienesta, Valsts policijas, Valsts robežsardzes, Neatliekamās medicīniskās palīdzības dienesta, mobilizējamo civilās aizsardzības formējumi valsts apdraudējuma gadījumā apgādājami ar dabasgāzi un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kritiskās infrastruktūras nozīmi visaptverošā valsts aizsardzībā, kritiskās infrastruktūras kopums prioritāri jāapgādā ar dabasgāzi un elektroenerģiju.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bruņoto spēku, Valsts ugunsdzēsības un glābšanas dienesta, Valsts policijas, Valsts robežsardzes, Neatliekamās medicīniskās palīdzības dienesta, kritiskā infrastruktūra, mobilizējamie civilās aizsardzības formējumi valsts apdraudējuma gadījumā apgādājami ar dabasgāzi un elektroenerģiju.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Feldmanis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izpratnē par valsts apdraudējumu uzskatāms tikai īpaši augsts terorisma draudu līmenis, ja ir noticis terora akts vai terora akts vairs nav novēršams elektroenerģijas vai dabasgāzes apgādē.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Ministru kabineta noteikumu izdošanas pamatā ir norādīts arī Mobilizācijas likums, tad pirmsšķietami regulējums ir attiecināms uz situācijām, kas saistīta ar gatavošanos mobilizācijai vai tās izpildi. Kā priekšnoteikums mobilizācijas izsludināšanai ir izsludināts izņēmuma stāvoklis vai ārkārtēja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likuma "Par izņēmuma stāvokli un ārkārtējo situāciju" 4.pantā noteikts, ka ārkārtējo situāciju var izsludināt tāda valsts apdraudējuma gadījumā, kas saistīts ar katastrofu, tās draudiem vai kritiskās infrastruktūras apdraudējumu, ja būtiski apdraudēta valsts, sabiedrības, vides, saimnieciskās darbības drošība vai cilvēku veselība un dzīvība. Valsts apdraudējuma veidi noteikti Nacionālās drošības likuma 22.pantā un terora draudi ir tikai viens no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ko Ministru kabineta noteikumu projekts pašreizējā redakcijā nepamatoti sašaurina normatīvajos aktos esošo valsts apdraudējuma definīciju, reducējot līdz terorisma draudiem.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minētajam grozīt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Feldmanis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Pamatojoties uz Centra lēmumu, manuālo atslēgšanu var nepiemērot 330/110/6-20 kV apakšstaciju elektrolīniju izvadiem, kuri nodrošina elektroapgādi šo noteikumu </w:t>
            </w:r>
            <w:r w:rsidR="00000000" w:rsidRPr="00000000" w:rsidDel="00000000">
              <w:rPr>
                <w:rtl w:val="0"/>
              </w:rPr>
              <w:t xml:space="preserve">1.3. </w:t>
            </w:r>
            <w:r w:rsidR="00000000" w:rsidRPr="00000000" w:rsidDel="00000000">
              <w:rPr>
                <w:rtl w:val="0"/>
              </w:rPr>
              <w:t xml:space="preserve">apakšpunktā</w:t>
            </w:r>
            <w:r w:rsidR="00000000" w:rsidRPr="00000000" w:rsidDel="00000000">
              <w:rPr>
                <w:rtl w:val="0"/>
              </w:rPr>
              <w:t xml:space="preserve"> minētajiem lietotājiem un augstas prioritātes nozīmīgiem elektroenerģijas tīkla lietotājiem.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kritiskās infrastruktūras kopuma nozīmīgumu visaptverošas valsts aizsardzības kontekstā, aicinām izvērtēt iespēju iekļaut visu kategoriju kritiskās infrastruktūras kopumu augstas prioritātes nozīmīgo elektroenerģijas tīkla lietotāju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Feldmanis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pirmās grupas dabasgāzes lietotāji (turpmāk – nodrošināmie lietotāji) – mājsaimniecības, izglītības iestādes, slimnīcas, valsts un pašvaldību ilgstošas sociālās aprūpes un sociālās rehabilitācijas institūcijas, krīzes centri, avārijas dienesti, telekomunikāciju mezgli, Neatliekamās medicīniskās palīdzības dienests, Valsts ugunsdzēsības un glābšanas dienests, Nacionālie bruņotie spēki, Valsts policija, Valsts robežsardze, valsts drošības iestādes, ūdensapgādes un kanalizācijas stacijas, brīvības atņemšanas iestādes, mobilizējamie civilās aizsardzības formējumi un komersanti, kuru gazificēto objektu maksimālā atļautā slodze ir mazāka vai vienāda ar 25 m</w:t>
            </w:r>
            <w:r w:rsidR="00000000" w:rsidRPr="00000000" w:rsidDel="00000000">
              <w:rPr>
                <w:vertAlign w:val="superscript"/>
                <w:rtl w:val="0"/>
              </w:rPr>
              <w:t xml:space="preserve">3</w:t>
            </w:r>
            <w:r w:rsidR="00000000" w:rsidRPr="00000000" w:rsidDel="00000000">
              <w:rPr>
                <w:rtl w:val="0"/>
              </w:rPr>
              <w:t xml:space="preserve">/h;</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kritiskās infrastruktūras kopuma nozīmīgumu visaptverošas valsts aizsardzības kontekstā, aicinām izvērtēt iespēju iekļaut kritiskās infrastruktūras kopumu pirmās grupas dabasgāzes lietotāju starpā.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Feldmanis (AM)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visi enerģijas lietotāju apgādes komersanti ir daļa no kritiskās infrastruktūras kopuma, aicinām izvērtēt iespēju iekļaut atsauci uz to, ka izņēmuma stāvokļa laikā tiek aktivizēti iepriekšminēto uzņēmumu darbības nepārtrauktības plāni, saskaņā ar kuriem kritiskā infrastruktūra nodrošina darbību vismaz minimālajā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Feldmanis (AM)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10.05.2024. 20.13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24-TA-215</w:t>
    </w:r>
    <w:r>
      <w:br/>
    </w:r>
    <w:r w:rsidR="00000000" w:rsidRPr="00000000" w:rsidDel="00000000">
      <w:rPr>
        <w:rtl w:val="0"/>
      </w:rPr>
      <w:t xml:space="preserve">Izdrukāts 10.05.2024. 20.13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Atzinumi_24-TA-215.docx</dc:title>
</cp:coreProperties>
</file>

<file path=docProps/custom.xml><?xml version="1.0" encoding="utf-8"?>
<Properties xmlns="http://schemas.openxmlformats.org/officeDocument/2006/custom-properties" xmlns:vt="http://schemas.openxmlformats.org/officeDocument/2006/docPropsVTypes"/>
</file>