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 Šo noteikumu 25.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2. apakšpunkta nosacījumi nav piemērojami monitoringa darba vērtējumiem.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par 19. punktu.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2023./2024. m.g. un 2024./2025. m.g. noteikts, ka skolēni kārto monitoringa darbu dabaszinībās vispārīgajā apguves līmenī vai fizikā, ķīmijā vai bioloģijā vismaz optimālajā apguves līmenī, nepiemērojot mācību snieguma vērtējuma nosacījumus  monitoringa darbiem.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2025./2026.m.g. skolēni kārto centralizētos eksāmenus šajos priekšmetos. Lūdzam skaidrot vai tiem skolēniem, kas kārto monitoringa darbu 2023./2024.m.g., piem., noslēdzot kursu - Bioloģija I 10. klasē, vai 2024./2025.m.g., noslēdzot kursu 11. klasē kādā no minētajiem priekšmetiem, eksāmens 2025./2026.m.g. būs obligāts?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anotācijā skaidrot - vai 12.klases izglītojamajam 2025./2026.mācību gadā būs jākārto eksāmens minētajos mācību priekšmetos, ja ir saņemts vērtējums monitoringa darbā 10. vai 11. klasē.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noteikumos paredzēt pārejas periodu – nosakot, ka izglītojamajiem, kuri ir saņēmuši vērtējumu monitoringa darbā  pārejas posmā tiek dota izvēle – kārtot vai nekārtot eksāmenu minētajos mācību priekšmetos.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01.02.2024.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01.02.2024.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