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24-TA-1547: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Elektronisko sakaru likumā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(Izziņa-iesūtītie iebildumi ārpus TAP)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Sabiedrisko pakalpojumu regulēšanas komisija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„(10) Būvniecības ierosinātājs, projektējot daudzstāvu daudzdzīvokļu dzīvojamo māju, publisku ēku, rūpniecības objektu vai tuneli, kas atbilst vispārīgajos būvnoteikumos noteiktā ēku iedalījuma II vai III grupai, kā arī būtiski pārbūvējot šādas ēkas, būvprojektā paredz pasākumus, kas iekštelpās (izņemot tehniskās telpas bez uzturēšanās funkcijas) nodrošina mobilo elektronisko sakaru pārklājumu ar radiosignāla līmeni augstāku par -96 dBm.”.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Likumprojekts paredz papildināt Likuma 28.pantu ar desmito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Būvniecības ierosinātājs, projektējot daudzstāvu daudzdzīvokļu dzīvojamo māju, publisku ēku, rūpniecības objektu vai tuneli, kas atbilst vispārīgajos būvnoteikumos noteiktā ēku iedalījuma II vai III grupai, kā arī būtiski pārbūvējot šādas ēkas, būvprojektā paredz pasākumus, kas iekštelpās (izņemot tehniskās telpas bez uzturēšanās funkcijas) nodrošina mobilo elektronisko sakaru pārklājumu ar radiosignāla līmeni augstāku par -96 dBm.”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Regulatora 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Regulatora ieskatā nosakot pienākumu būvniecības ierosinātajam nodrošināt konkrētu radiosignāla līmeni decibelos, nepieciešams arī izstrādāt un norādīt konkrētu mērījumu metodiku, pieļaujamo mērījuma kļūdas lielumu, kā arī kompetento iestādi par normas izpildes uzraudzību. Pretējā gadījumā minētā norma ir uzskatāma par deklaratīvu.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Regulators  izsaka priekšlikumu papildināt Likumprojektu ar normu, kas paredz Ministru kabinetam izdot noteikumus, kas reglamentē kārtību un procesu saistībā ar plānoto Likuma 28.panta desmitās daļas izpildes nodrošināšanu un uzraudzību, kā arī pārejas noteikumos paredzēt termiņu, līdz kuram Ministru kabinetam ir jāizdod noteikumi par mobilo elektronisko sakaru pārklājuma radiosignāla līmeņa mērīšanas noteikumiem (metodiku).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Juris Ķezberis (SPRK)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"32.</w:t>
            </w:r>
            <w:r w:rsidR="00000000" w:rsidRPr="00000000" w:rsidDel="00000000">
              <w:rPr>
                <w:vertAlign w:val="superscript"/>
                <w:rtl w:val="0"/>
              </w:rPr>
              <w:t xml:space="preserve">1</w:t>
            </w:r>
            <w:r w:rsidR="00000000" w:rsidRPr="00000000" w:rsidDel="00000000">
              <w:rPr>
                <w:rtl w:val="0"/>
              </w:rPr>
              <w:t xml:space="preserve"> pants. Citu personu, kuras elektronisko sakaru komersanta uzdevumā  veic elektronisko sakaru tīklu ierīkošanu, būvniecību un uzturēšanu, tiesības un pienākumi.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 likuma IV nodaļā noteiktās elektronisko sakaru komersantu tiesības un pienākumi ir attiecināmi arī uz citu personu, kuram rakstveida formā uzdots veikt elektronisko sakaru tīklu vai jebkādas tā daļas ierīkošanu, būvniecību un uzturēšanu.”.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Likumprojekts paredz papildināt Likumu ar 32.1 pantu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"32.1 pants. Citu personu, kuras elektronisko sakaru komersanta uzdevumā  veic elektronisko sakaru tīklu ierīkošanu, būvniecību un uzturēšanu, tiesības un pienākumi.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 likuma IV nodaļā noteiktās elektronisko sakaru komersantu tiesības un pienākumi ir attiecināmi arī uz citu personu, kuram rakstveida formā uzdots veikt elektronisko sakaru tīklu vai jebkādas tā daļas ierīkošanu, būvniecību un uzturēšanu.”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Regulators vērš uzmanību, ka minētajā teikumā ir konstatējama gramatikas kļūda, līdz ar to Regulators izsaka priekšlikumu normas tekstā vārdu  “kuram”  aizstāt ar vārdu “kurai”, tādējādi nodrošinot gramatiski pareizu teikuma konstrukciju.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Juris Ķezberis (SPRK)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24-TA-1547</w:t>
    </w:r>
    <w:r>
      <w:br/>
    </w:r>
    <w:r w:rsidR="00000000" w:rsidRPr="00000000" w:rsidDel="00000000">
      <w:rPr>
        <w:rtl w:val="0"/>
      </w:rPr>
      <w:t xml:space="preserve">Izdrukāts 27.03.2025. 13.37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24-TA-1547</w:t>
    </w:r>
    <w:r>
      <w:br/>
    </w:r>
    <w:r w:rsidR="00000000" w:rsidRPr="00000000" w:rsidDel="00000000">
      <w:rPr>
        <w:rtl w:val="0"/>
      </w:rPr>
      <w:t xml:space="preserve">Izdrukāts 27.03.2025. 13.37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Atzinumi_24-TA-1547.docx</dc:title>
</cp:coreProperties>
</file>

<file path=docProps/custom.xml><?xml version="1.0" encoding="utf-8"?>
<Properties xmlns="http://schemas.openxmlformats.org/officeDocument/2006/custom-properties" xmlns:vt="http://schemas.openxmlformats.org/officeDocument/2006/docPropsVTypes"/>
</file>