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akreditētie valsts muzeji var saņemt valsts garantētu apdrošināšanu starptautisku izstāžu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11., 12. punkti, 24.1., 24.3. apakšpunkti un 25., 28., 29., 33., 39., 42. punkti satur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tiesību aktā iekļauto informācijas sniegšanas pienākumu vērtējumu un atbilstoši vērtējumam veikt administratīvo izmaksu monetāru novērtējumu, kas aizpildāms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administratīvo izmaksu monetāru novērtējumu ir nepieciešams izprast informācijas sniegšanas metodi, proti, kā tieši sniedzamā informācija ir sagatavojama un sniedzama (informācijas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10.10.2025.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10.10.2025.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Atzinumi_25-TA-2339.docx</dc:title>
</cp:coreProperties>
</file>

<file path=docProps/custom.xml><?xml version="1.0" encoding="utf-8"?>
<Properties xmlns="http://schemas.openxmlformats.org/officeDocument/2006/custom-properties" xmlns:vt="http://schemas.openxmlformats.org/officeDocument/2006/docPropsVTypes"/>
</file>