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Krimināllikuma spēkā stāšanās un piemērošanas kārtību”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25.07.2023.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25.07.2023.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