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(Joint Statement of the Republic of Estonia and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(BVKB atzinums 02.03.2023. 1. saskaņošana)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pantā minētā secinām, ka ieņēmumu no pārdotās elektroenerģijas maksimālo apmēru 0,180 euro par vienu kilovatstundu piemēro elektroenerģijas ražotājiem, kuri reģistrēti elektroenerģijas ražotāju reģistrā, kuru vidū ir arī elektroenerģijas ražotāji, kas ražo elektroenerģiju no dabasgāzes. LSUA ieskatā šis nosacījums ir pretrunā ar ES PADOMES REGULAS 2022/1854 (2022. gada 6. oktobris) par ārkārtas intervenci augsto enerģijas cenu problēmas risināšanai 7. pantā iekļauto uzskaitījumu par energoresursiem, no kuriem ražotajai elektroenerģijai tiek piemēroti tirgus ieņēmumu griesti. Tāpat Regulas ievadā teikts, ka “(33) Tirgus ieņēmumu griesti nebūtu jāpiemēro tehnoloģijām ar augstām robežizmaksām, kas saistītas ar elektroenerģijas ražošanai nepieciešamās ielaides degvielas cenu, piemēram, ar gāzi un akmeņoglēm darbināmām elektrostacijām, jo to darbības izmaksas ievērojami pārsniegtu tirgus ieņēmumu griestu līmeni un to piemērošana apdraudētu to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Elektroenerģijas ražotāju reģistrā ir reģistrēti arī regulēti centralizētās siltumapgādes komersanti, kas ražo siltumenerģiju un elektroenerģiju koģenerācijā. Atbilstoši likumam “Par sabiedrisko pakalpojumu regulatoriem” un saskaņā ar to izdotajai “Siltumenerģijas apgādes pakalpojumu tarifu aprēķināšanas metodikai”, šādu uzņēmumu peļņa ir regulēta un ierobežota jau bez tirgus ieņēmumu maksimālā apmēra noteikšanas, pamatojoties uz tarifu projektā paredzēto pārdodamās elektroenerģijas cenu. Ja faktiskā pārdotās elektroenerģijas cena pārsniedz tarifu projektā paredzēto (neparedzētie ieņēmumi), tad regulētam centralizētās siltumapgādes komersantam ir pienākums iesniegt jaunu siltumenerģijas apgādes pakalpojumu tarifu aprēķinu, kas ietver iepriekšējā gadā gūtos neparedzētos ieņēmumus un novirza tos siltumenerģijas tarifa samazināšanai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minētajiem komersantiem šis likumprojekts paredzētu dubultas saistības attiecībā uz ieņēmumu daļu, kas pārsniedz 27.</w:t>
            </w:r>
            <w:r w:rsidR="00000000" w:rsidRPr="00000000" w:rsidDel="00000000">
              <w:rPr>
                <w:vertAlign w:val="superscript"/>
                <w:rtl w:val="0"/>
              </w:rPr>
              <w:t xml:space="preserve">1</w:t>
            </w:r>
            <w:r w:rsidR="00000000" w:rsidRPr="00000000" w:rsidDel="00000000">
              <w:rPr>
                <w:rtl w:val="0"/>
              </w:rPr>
              <w:t xml:space="preserve"> panta pirmajā daļā noteikto ieņēmumu maksimālo apmēru (virsieņēmumus), ja tarifu projektā paredzētā pārdodamās elektroenerģijas cena nepārsniedz 0,180 euro par vienu kilovatstundu – tā būtu gan jānovirza siltumenerģijas tarifa samazināšanai, gan jāizlieto kā paredzēts 27.</w:t>
            </w:r>
            <w:r w:rsidR="00000000" w:rsidRPr="00000000" w:rsidDel="00000000">
              <w:rPr>
                <w:vertAlign w:val="superscript"/>
                <w:rtl w:val="0"/>
              </w:rPr>
              <w:t xml:space="preserve">1</w:t>
            </w:r>
            <w:r w:rsidR="00000000" w:rsidRPr="00000000" w:rsidDel="00000000">
              <w:rPr>
                <w:rtl w:val="0"/>
              </w:rPr>
              <w:t xml:space="preserve"> panta otrajā daļā. Ja tarifu projektā paredzētā pārdodamās elektroenerģijas cena pārsniedz 0,180 euro par vienu kilovatstundu, tad virsieņēmumi jau ir novirzīti siltumenerģijas tarifa samazināšanai (jo peļņa ir ierobežota un fiksēta) un tie nerada līdzekļus, kas varētu tikt izlietoti kā paredzēts 27.</w:t>
            </w:r>
            <w:r w:rsidR="00000000" w:rsidRPr="00000000" w:rsidDel="00000000">
              <w:rPr>
                <w:vertAlign w:val="superscript"/>
                <w:rtl w:val="0"/>
              </w:rPr>
              <w:t xml:space="preserve">1</w:t>
            </w:r>
            <w:r w:rsidR="00000000" w:rsidRPr="00000000" w:rsidDel="00000000">
              <w:rPr>
                <w:rtl w:val="0"/>
              </w:rPr>
              <w:t xml:space="preserve">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grozījumu projektā ir jāiekļauj izņēmums, ka ieņēmumu no pārdotās elektroenerģijas maksimālo apmēru 0,180 euro par vienu kilovatstundu nepiemēro elektroenerģijas ražotājiem, kuri ražo elektroenerģiju no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veikt labojumus grozījumu projektā, paredzot izņēmumu, ka pārdotās elektroenerģijas maksimālā apmēra nosacījums netiek attiecināts uz centralizētās siltumapgādes komersantiem, kuru tarifus apstiprina Sabiedrisko pakalpojumu regulēšanas komisija (SPRK).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14.03.2023.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14.03.2023.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Atzinumi_23-TA-419.docx</dc:title>
</cp:coreProperties>
</file>

<file path=docProps/custom.xml><?xml version="1.0" encoding="utf-8"?>
<Properties xmlns="http://schemas.openxmlformats.org/officeDocument/2006/custom-properties" xmlns:vt="http://schemas.openxmlformats.org/officeDocument/2006/docPropsVTypes"/>
</file>