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marta noteikumos Nr. 173 "Noteikumi par sociālās atstumtības riskam pakļauto iedzīvotāju grupām un sociālā uzņēmuma statusa piešķiršanas, reģistrēšanas un uzraudzības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datiem (atbilstoši veiktiem aprēķiniem) pamatot izteikto apgalvojumu, ka "noteikumu projekts nerada būtiskas administratīvo izmaksu izmaiņas sociālajiem uzņēmumiem. Lai gan tiek samazinātas atsevišķas informācijas sniegšanas prasības, vienlaikus tiek precizētas un paplašinātas prasības informācijas sniegšanai par brīvprātīgo darbu. Līdz ar to kopējais administratīvais slogs mērķa grupai saglabājas nemainīgs."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izziņā uzdoto jautājumu skaidrojam, ka informācija, kas sniegta likuma grozījumu anotācijā nav jādublē MK noteikumu grozījumu anotācijā, vienlaikus lūdzam pie attiecīgā 7. sadaļas punkta norādīt atsauci uz likuma grozījumiem (nosaukums un TA numurs), kuros ir sniegta atbilstošā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20.08.2026.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20.08.2026.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Atzinumi_26-TA-270.docx</dc:title>
</cp:coreProperties>
</file>

<file path=docProps/custom.xml><?xml version="1.0" encoding="utf-8"?>
<Properties xmlns="http://schemas.openxmlformats.org/officeDocument/2006/custom-properties" xmlns:vt="http://schemas.openxmlformats.org/officeDocument/2006/docPropsVTypes"/>
</file>