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Katram projekta iesniedzējam un sadarbības partnerim ar saimniecisku darbību nesaistīta projekta gadījumā pieejamais kopējais attiecināmais finansējums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kāds būs pieejamais finansējums kombinētā projekta gadījumā, lūdzu to norādīt MK noteikumos vai skaidrot to anotācijā. Šobrīd tikai no 2.pielikuma var nojaust, ka kombinēta projekta gadījumā MK noteikumu 20.punktā minētais apjoms ir uzskatāms par pieejamo publisko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2029. gada 31. decembrim sasniedzams iznākuma rādītājs “pētniecības un inovāciju aprīkojuma nominālā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nesakrīt ar noteikumu projekta apakšpunktā 9.1.2. "pētniecības un inovāciju aprīkojuma nominālā vērtība - 31 851 511 euro" norādīto par 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saimniecisku darbību nesaistītam projektam un kombinēta atbalsta projekta ar saimniecisko darbību nesaistītajai daļai netiešās attiecināmās izmaksas plāno kā vienu izmaksu pozīciju, piemērojot netiešo izmaksu vienoto likmi 15 procentu apmērā no šo noteikumu </w:t>
            </w:r>
            <w:r w:rsidR="00000000" w:rsidRPr="00000000" w:rsidDel="00000000">
              <w:rPr>
                <w:rtl w:val="0"/>
              </w:rPr>
              <w:t xml:space="preserve">35.4.</w:t>
            </w:r>
            <w:r w:rsidR="00000000" w:rsidRPr="00000000" w:rsidDel="00000000">
              <w:rPr>
                <w:rtl w:val="0"/>
              </w:rPr>
              <w:t xml:space="preserve"> un minētajām projekta tiešajām attiecināmajām personāla atlīdzības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36.punkts paredz atšķirīgu pieeju netiešo izmaksu vienotās likmes piemērošanai (tikai ar saimniecisku darbību nesaistītam projektam), lūdzam sniegt skaidrojumu anotācijā, vai dažādās pieejas starp projektiem (ar saimniecisku darbību nesaistītam un ar saimniecisko darbību saistītam projektam) neietekmēs projektos plānoto rādītāju un rezultātu sasniegšanu to paredzētajā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atbalsts infrastruktūrai ar saimniecisko darbību nesaistīta projekta ietvaros netiktu kvalificēts kā komercdarbības atbalsts, infrastruktūrā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platības izteiksmi, salāgojot ar šo noteikumu 43.punktu, kur norādīta rīcība tikai divos gadījumos - ja tiek pārsniegts papildinošās saimnieciskās darbības (PSD) aprēķins finanšu un laika izteiksmēs. Arī 2014.-2020.gada periodā pētniecības infrastruktūras projektos 1.1.1.4.pasākuma ietvaros tika pieļautas 2 PSD metodes - laiks un finanses.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šo noteikumu </w:t>
            </w:r>
            <w:r w:rsidR="00000000" w:rsidRPr="00000000" w:rsidDel="00000000">
              <w:rPr>
                <w:rtl w:val="0"/>
              </w:rPr>
              <w:t xml:space="preserve">29.</w:t>
            </w:r>
            <w:r w:rsidR="00000000" w:rsidRPr="00000000" w:rsidDel="00000000">
              <w:rPr>
                <w:rtl w:val="0"/>
              </w:rPr>
              <w:t xml:space="preserve"> vai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minētā projekta īstenošanas laikā var saņemt avansa maksājumu, kuru var izmaksāt pa daļām. Avansa maksājums nepārsniedz 30 procentus no projektam piešķirtā publiskā finansējuma kopsummas. Pēc tam kad noslēgts līgums par projekta īstenošanu, sadarbības iestāde, pamatojoties uz finansējuma saņēmēja vadības sistēmā iesniegtu avansa pieprasījumu, nodrošina finansējuma saņēmējam avansa maksājumu atbilstoši normatīvajiem aktiem par valsts budžeta līdzekļu plānošanu Eiropas Savienības fondu īstenošanai un maksājumu veikšanu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regulējumu par avansa piešķiršanu finansējuma saņēmējam, lūdzam izsekojamības un normas viennozīmīgas interpretācijas nolūkos norādīt arī avansa un starpposma maksājumu maksimālo apmēru atbilstoši Ministru kabineta 2023. gada 25. aprīļa noteikumos Nr. 205 "Valsts budžeta līdzekļu plānošanas kārtība Eiropas Savienības fondu projektu īstenošanai un maksājumu veikšanai 2021.–2027. gada plānošanas periodā"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53.2.2. lai ievērotu Komisijas regulas Nr.  651/2014 26. panta 7. punkta un šo noteikumu </w:t>
            </w:r>
            <w:r w:rsidR="00000000" w:rsidRPr="00000000" w:rsidDel="00000000">
              <w:rPr>
                <w:rtl w:val="0"/>
              </w:rPr>
              <w:t xml:space="preserve">57. </w:t>
            </w:r>
            <w:r w:rsidR="00000000" w:rsidRPr="00000000" w:rsidDel="00000000">
              <w:rPr>
                <w:rtl w:val="0"/>
              </w:rPr>
              <w:t xml:space="preserve">punkt</w:t>
            </w:r>
            <w:r w:rsidR="00000000" w:rsidRPr="00000000" w:rsidDel="00000000">
              <w:rPr>
                <w:rtl w:val="0"/>
              </w:rPr>
              <w:t xml:space="preserve">a nosacījumus, atbildīgā iestāde izstrādā ikgadēju publiskā finansējuma uzraudzības un atgūšanas mehānismu, kuru sadarbības iestāde piemēro visā infrastruktūras amortizācijas periodā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53.2.apakšpunkts attiecas uz finansējuma saņēmēju un tā vidējās svērtās likmes aprēķinu, lūdzam dzēst 53.2.2.apakšpunktu (t.sk., 53.2.2.1. un 53.2.2.2. apakšpunktus), jo tas nosaka atbildīgās iestādes un sadarbības iestādes pienākumu, vai izvērtē 53.2.2.apakšpunkta pārcelšanu. Papildus aicinām izvērtēt 53.2.2.apakšpunktā un tā apakšpunktos minēto, jo šobrīd tas daļēji pārklājas ar 42. un 43.punktā noteikto par papildinošās saimnieciskās darbības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pielikums "Kombinēta atbalsta veida projekta, finansējuma saņēmēja un sadarbības partnera daļas vidējās svērtās publiskā finansējuma intensitātes aprēķināšanas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7.1.apakšpunktā norādīt korektu atsauci uz publiskā finansējuma apmēru, jo MK noteikumu 18.punktā tas nav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finansējums nacionālajā rādītājā "pētniecības un inovāciju aprīkojuma nominālā vērtība – 31 851 509  euro" nesakrīt ar noteikumu projekta 9.1.2.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valsts budžeta līdzfinansējuma apmēru kopā un sadalījumā gadiem. Vēršam uzmanību, ka valsts budžeta līdzfinansējuma apmērs kopā šajā punktā veido 1 </w:t>
            </w:r>
            <w:r w:rsidR="00000000" w:rsidRPr="00000000" w:rsidDel="00000000">
              <w:rPr>
                <w:i w:val="1"/>
                <w:rtl w:val="0"/>
              </w:rPr>
              <w:t xml:space="preserve">euro </w:t>
            </w:r>
            <w:r w:rsidR="00000000" w:rsidRPr="00000000" w:rsidDel="00000000">
              <w:rPr>
                <w:rtl w:val="0"/>
              </w:rPr>
              <w:t xml:space="preserve">novirzi un neatbilst noteikumu projekta 7.punktā norādītajam valsts budžeta līdzfinansējumam.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03.01.2025.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03.01.2025.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Atzinumi_24-TA-1719.docx</dc:title>
</cp:coreProperties>
</file>

<file path=docProps/custom.xml><?xml version="1.0" encoding="utf-8"?>
<Properties xmlns="http://schemas.openxmlformats.org/officeDocument/2006/custom-properties" xmlns:vt="http://schemas.openxmlformats.org/officeDocument/2006/docPropsVTypes"/>
</file>