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trešajā kārtā katrs projekta iesniedzējs iesniedz vienu ar saimniecisko darbību nesaistītu projekta iesniegumu, kas atbilst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minētajiem kritērijiem, un to īsteno individuāli vai sadarbībā ar šo noteikumu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10.7.</w:t>
            </w:r>
            <w:r w:rsidR="00000000" w:rsidRPr="00000000" w:rsidDel="00000000">
              <w:rPr>
                <w:rtl w:val="0"/>
              </w:rPr>
              <w:t xml:space="preserve"> un </w:t>
            </w:r>
            <w:r w:rsidR="00000000" w:rsidRPr="00000000" w:rsidDel="00000000">
              <w:rPr>
                <w:rtl w:val="0"/>
              </w:rPr>
              <w:t xml:space="preserve">10.12. </w:t>
            </w:r>
            <w:r w:rsidR="00000000" w:rsidRPr="00000000" w:rsidDel="00000000">
              <w:rPr>
                <w:rtl w:val="0"/>
              </w:rPr>
              <w:t xml:space="preserve">apakšpunktā</w:t>
            </w:r>
            <w:r w:rsidR="00000000" w:rsidRPr="00000000" w:rsidDel="00000000">
              <w:rPr>
                <w:rtl w:val="0"/>
              </w:rPr>
              <w:t xml:space="preserve"> minētajiem sadarbības partneriem. Finansējuma saņēmējs sadarbības partnerus iesaista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atbalstāmās darbības īstenošanā, kā arī šo noteikumu </w:t>
            </w:r>
            <w:r w:rsidR="00000000" w:rsidRPr="00000000" w:rsidDel="00000000">
              <w:rPr>
                <w:rtl w:val="0"/>
              </w:rPr>
              <w:t xml:space="preserve">10.7. </w:t>
            </w:r>
            <w:r w:rsidR="00000000" w:rsidRPr="00000000" w:rsidDel="00000000">
              <w:rPr>
                <w:rtl w:val="0"/>
              </w:rPr>
              <w:t xml:space="preserve">apakšpunktā</w:t>
            </w:r>
            <w:r w:rsidR="00000000" w:rsidRPr="00000000" w:rsidDel="00000000">
              <w:rPr>
                <w:rtl w:val="0"/>
              </w:rPr>
              <w:t xml:space="preserve"> minētais finansējuma saņēmējs – sadarbības partnerus Latvijas Universitātes  Matemātikas un informātikas institūtu un Latvijas Universitātes  Literatūras, folkloras un mākslas institūtu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minētās atbalstāmās darbības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11.punkta un anotācijas izriet, ka pasākuma trešajā kārtā katrs projekta iesniedzējs iesniedz vienu ar saimniecisko darbību nesaistītu projekta iesniegumu un īsteno projektu, kas nav saistīts ar saimnieciskās darbības veikšanu. Taču ne no noteikumu projekta, ne no tā anotācijas neizriet informācija par to, kā tieši tiks izvērtēts tas, vai projekta iesniedzēja individuāli vai sadarbībā ar sadarbības partneriem īstenotais projekts ir/nav saistīts ar komercdarbības atbalsta sniegšanu. Attiecīgi uzturam iepriekš izteikto iebildumu, lūdzot papildināt noteikumu projektu ar kritērijiem, kuriem izpildoties, tiks secināts tas, vai projekta iesniedzēja individuāli vai sadarbībā ar sadarbības partneriem īstenotais projekts atbilst noteikumu projektā noteiktajiem nosacījumiem ar saimniecisku darbību nesaistītam projektam vai tā nekvalificēsies kā komercdarbības atbalsta sniegšana. Vēršam uzmanību, ka, piemēram, Komisijas paziņojuma “Pētniecībai, izstrādei un inovācijai piešķiramā valsts atbalsta nostādnes” (2022/C 414/01) (turpmāk - EK nostādnes) 20.punkts paredz, ka, projekts var būt nesaimniecisks, ja atbalsta saņēmējs ir  pētniecības un zināšanu izplatīšanas organizācija (definēta EK nostādņu16.punkta (ff) apakšpunktā) vai pētniecības infrastruktūra (definēta EK nostādņu 16.punkta (gg) apakšpunktā) un tiek izpildīti tajā noteiktie nosacījumi. Ar atbilstošu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trešās kārtas mērķis ir veicināt starptautisko sadarbību pētniecības jomā un sasaisti ar Latvijas Viedās specializācijas stratēģijas (turpmāk – RIS3) specializācijas jomu, kā arī starpdisciplināru RIS3 specializācijas jomu attīstīšanu, tajā skaitā palielinot zinātnisko institūciju dalību programmā "Apvārsnis Eiropa".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Savienības kohēzijas politikas programmai 2021. - 2027.gadam, pieeja par starpdisciplināru RIS3 specializācijas jomu attīstīšanu gadījumā, kad starpdisciplinārs projekta pieteikums ietver vismaz vienu no definētajām RIS3 jomām un vismaz vienu jomu vai nozari, kas nav noteikta kā RIS3 joma, ir jāsaskaņo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trešajā kārtā katrs projekta iesniedzējs iesniedz vienu ar saimniecisko darbību nesaistītu projekta iesniegumu, kas atbilst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minētajiem kritērijiem, un to īsteno individuāli vai sadarbībā ar šo noteikumu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10.7.</w:t>
            </w:r>
            <w:r w:rsidR="00000000" w:rsidRPr="00000000" w:rsidDel="00000000">
              <w:rPr>
                <w:rtl w:val="0"/>
              </w:rPr>
              <w:t xml:space="preserve"> un </w:t>
            </w:r>
            <w:r w:rsidR="00000000" w:rsidRPr="00000000" w:rsidDel="00000000">
              <w:rPr>
                <w:rtl w:val="0"/>
              </w:rPr>
              <w:t xml:space="preserve">10.12. </w:t>
            </w:r>
            <w:r w:rsidR="00000000" w:rsidRPr="00000000" w:rsidDel="00000000">
              <w:rPr>
                <w:rtl w:val="0"/>
              </w:rPr>
              <w:t xml:space="preserve">apakšpunktā</w:t>
            </w:r>
            <w:r w:rsidR="00000000" w:rsidRPr="00000000" w:rsidDel="00000000">
              <w:rPr>
                <w:rtl w:val="0"/>
              </w:rPr>
              <w:t xml:space="preserve"> minētajiem sadarbības partneriem. Finansējuma saņēmējs sadarbības partnerus iesaista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atbalstāmās darbības īstenošanā, kā arī šo noteikumu </w:t>
            </w:r>
            <w:r w:rsidR="00000000" w:rsidRPr="00000000" w:rsidDel="00000000">
              <w:rPr>
                <w:rtl w:val="0"/>
              </w:rPr>
              <w:t xml:space="preserve">10.7. </w:t>
            </w:r>
            <w:r w:rsidR="00000000" w:rsidRPr="00000000" w:rsidDel="00000000">
              <w:rPr>
                <w:rtl w:val="0"/>
              </w:rPr>
              <w:t xml:space="preserve">apakšpunktā</w:t>
            </w:r>
            <w:r w:rsidR="00000000" w:rsidRPr="00000000" w:rsidDel="00000000">
              <w:rPr>
                <w:rtl w:val="0"/>
              </w:rPr>
              <w:t xml:space="preserve"> minētais finansējuma saņēmējs – sadarbības partnerus Latvijas Universitātes  Matemātikas un informātikas institūtu un Latvijas Universitātes  Literatūras, folkloras un mākslas institūtu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minētās atbalstāmās darbības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projektā izvērtēt, vai attiecīgajos punktos iekļautās funkcijas veic projekta iesniedzējs vai finansējuma saņēmējs un nepieciešamības gadījumā tos atbilstoši precizēt. Piemēram, noteikumu projekta 11.punktā noteikts, ka projekta iesniegumu iesniedz projekta iesniedzējs, un projektu īsteno projekta iesniedzējs, bet no Eiropas Savienības fondu normatīvā regulējuma izriet, ka projektu īsteno finansējuma saņēmējs, nevis projekta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ārvalstu komandējumu izmaksas projekta īstenošanas personālam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 un Latvijas zinātnisko institūciju deleģētajam zinātniskajam personālam 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minētās atbalstāmās darbības īstenošanai atbilstoši normatīvajiem aktiem, kas nosaka kārtību, kādā atlīdzināmi ar komandējumiem saistītie izdevumi, ja tās ir skaidri saistāmas ar projekta rezultāta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skaidrojumu, kur norādīts, ka ar Latvijas zinātnisko institūciju deleģēto zinātnisko personālu ir domāts, ka izmaksas būs attiecināmas mērķa grupai- arī citas Latvijas zinātniskās institūcijas, ne tikai BMC, piemēram, LU, RSU, OSI, varēs doties uz EMBL pasākumiem, laboratorijām, nodrošinot Latvijas zinātniekiem pētniecības un stažēšanās iespējas EMBL. Tomēr lūdzam šo skaidrojumu iekļaut arī anotācijā, kā arī pārveidot 19.5.punktu tā, lai no rakstītā skaidri varētu nolasīt, kas ir domāts ar Latvijas zinātnisko institūciju deleģēto zinātnisko personālu MKN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un sadarbības partneris nodrošina projekta īstenošanas finanšu plūsmas un darbību veidu skaidru nodalīšanu no citu finansējuma saņēmēja un sadarbības partnera darbību finanšu plūsmām un darbību veidiem, tai skaitā novēršot dubultā finansējuma neiestāšanos un pārklāšanos ar citiem valsts un ārvalstu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normas piemērošanu, lūdzam precizēt noteikumu projekta 22.punktu, nosakot, ka finansējuma saņēmējs </w:t>
            </w:r>
            <w:r w:rsidR="00000000" w:rsidRPr="00000000" w:rsidDel="00000000">
              <w:rPr>
                <w:u w:val="single"/>
                <w:rtl w:val="0"/>
              </w:rPr>
              <w:t xml:space="preserve">nodrošina </w:t>
            </w:r>
            <w:r w:rsidR="00000000" w:rsidRPr="00000000" w:rsidDel="00000000">
              <w:rPr>
                <w:rtl w:val="0"/>
              </w:rPr>
              <w:t xml:space="preserve">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un sadarbības partneris nodrošina projekta īstenošanas finanšu plūsmas un darbību veidu skaidru nodalīšanu no citu finansējuma saņēmēja un sadarbības partnera darbību finanšu plūsmām un darbību veidiem, tai skaitā </w:t>
            </w:r>
            <w:r w:rsidR="00000000" w:rsidRPr="00000000" w:rsidDel="00000000">
              <w:rPr>
                <w:u w:val="single"/>
                <w:rtl w:val="0"/>
              </w:rPr>
              <w:t xml:space="preserve">nodrošina</w:t>
            </w:r>
            <w:r w:rsidR="00000000" w:rsidRPr="00000000" w:rsidDel="00000000">
              <w:rPr>
                <w:rtl w:val="0"/>
              </w:rPr>
              <w:t xml:space="preserve"> dubultā finansējuma neiestāšanos un </w:t>
            </w:r>
            <w:r w:rsidR="00000000" w:rsidRPr="00000000" w:rsidDel="00000000">
              <w:rPr>
                <w:u w:val="single"/>
                <w:rtl w:val="0"/>
              </w:rPr>
              <w:t xml:space="preserve">nepārklāšanos</w:t>
            </w:r>
            <w:r w:rsidR="00000000" w:rsidRPr="00000000" w:rsidDel="00000000">
              <w:rPr>
                <w:rtl w:val="0"/>
              </w:rPr>
              <w:t xml:space="preserve"> ar citiem valsts un ārvalstu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30.05.2024. ES fondu 2021.-2027.gada plānošanas perioda apakškomitejas sēdē pārrunāto un nolemto, lūdzam papildināt anotāciju ar plašāku skaidrojumu par dubultā finansējuma neesamības nodrošināšanu, t.sk., ar Ekonomikas ministrijas pārziņā esošo Atveseļošanas un noturības mehānisma 5.1.1.2.i. investīciju, kā arī pārrunāt dubultā finansējuma kontroles jautājumu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noteikumu projekta anotācijā, gan izziņā precizēt informāciju, kas satur norādi, ka projekta vadības personāla izmaksas var tik segtas ar projekta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netiešās attiecināmās izmaksas ir projekta attiecināmās izmaksas, kas nav tieši saistītas ar projekta mērķu sasniegšanu, bet atbalsta un nodrošina atbilstošus apstākļus projekta veicamo darbību realizācijai un projekta rezultātu sasniegšanai. Tās ir, piemēram, finansējuma saņēmēja/gala saņēmēja un/vai gala labuma guvēja projekta vadības un projekta īstenošanas personāla administratīvās izmaksas, kas paredzētas iestādes ikdienas darbības nodrošināšanai– izmaksas, kuras nepieciešamas, lai organizācija varētu darboties un kuras nav tieši saistītas ar projekta īstenošanu, piemēram, telpu īre un iekārtu izmantošanas izmaksas, kancelejas preces, komunālo un sakaru pakalpojumu izmaksas, iestādes vadības un atbalsta struktūrvienību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vadībai un komunikācijas un vizuālās identitātes prasību nodrošināšanas pasākumiem nepieciešamās izmaksas finansējuma saņēmējs nodrošina no saviem līdzekļiem. Ja projekta īstenošanas laikā izmaksām, kas tiek segtas ar netiešajām izmaksām, veidojas finansējuma ietaupījums, finansējuma saņēmējs to var novirzīt ar projekta rezultātu sasniegšanu saistīto darbību īstenošanai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indikatīvi norādīt anotācijā, kādi amati var tikt uzskatīti par projekta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06.06.2024.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06.06.2024.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Atzinumi_24-TA-925.docx</dc:title>
</cp:coreProperties>
</file>

<file path=docProps/custom.xml><?xml version="1.0" encoding="utf-8"?>
<Properties xmlns="http://schemas.openxmlformats.org/officeDocument/2006/custom-properties" xmlns:vt="http://schemas.openxmlformats.org/officeDocument/2006/docPropsVTypes"/>
</file>