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24-TA-1631: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attīstības pamatnostādņu 2021. – 2027. gadam „Nākotnes prasmes nākotnes sabiedrībai” RĪCĪBAS PLĀNS 2024. –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jau 2025.gads, vēršam uzmanību, ka Izglītības attīstības pamatnostādņu 2021. – 2027. gadam „Nākotnes prasmes nākotnes sabiedrībai” rīcības plāna 2024. – 2025. gadam 3.1.1.5. punkta 3.1.1.5.b. darbības rezultāts ""Studētgods" stipendija visu kursu studējošajiem, stipendijas apmērs palielināts no 175 EUR uz 200 EUR. Stipendiātu kategorijas paplašināšana ar studējošiem no trūcīgām un maznodrošinātām mājsaimniecībām." nav sasniegts pilnvērtīgi un atbilstoši likumam "Par valsts budžetu 2025. gadam un budžeta ietvaru 2025., 2026. un 2027. gadam" nav noteikti papildus līdzekļi šī rezultāta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un izvirzītā rezultāta būtiskumu, lūdzam rīcības plānā atbilstoši norādīt 2025. gadā 2026. gada budžeta plānošanā veicamos uzdevumus, lai rezultātu ""Studētgods" stipendija visu kursu studējošajiem, stipendijas apmērs palielināts no 175 EUR uz 200 EUR. Stipendiātu kategorijas paplašināšana ar studējošiem no trūcīgām un maznodrošinātām mājsaimniecībām." sasniegtu 2026.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izpilde ir saistīta ar valsts budžeta plānošanas procesu, aicinām noteikt termiņu vienlaicīgi ar 2026. gada budžeta izstrādes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16.01.2025. 22.53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16.01.2025. 22.53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Atzinumi_24-TA-1631.docx</dc:title>
</cp:coreProperties>
</file>

<file path=docProps/custom.xml><?xml version="1.0" encoding="utf-8"?>
<Properties xmlns="http://schemas.openxmlformats.org/officeDocument/2006/custom-properties" xmlns:vt="http://schemas.openxmlformats.org/officeDocument/2006/docPropsVTypes"/>
</file>