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 Latvijas Republikas nacionālās pozīcijas ES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"Par atbildības noteikšanu par " Par GOVSATCOM un Drošas savienojamības programmas kompetentās iestādes nominēšanu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pozīcijas 3.sadaļā “Budžets, aprīkojums un nepieciešamais darbaspēks CGA un CSCA kompetentās iestādes funkciju veikšanai” iekļaut izziņas 3.punktā sniegto skaidrojumu, ka neatkarīgi no tā, kura institūcija tiks noteikta par kompetento iestādi GOVSATCOM un Drošas savienojamības programmas īstenošanā, izmaksu pozīcijas nodrošināmas esošo valsts budžeta un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03.04.2024.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03.04.2024.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Atzinumi_24-TA-14.docx</dc:title>
</cp:coreProperties>
</file>

<file path=docProps/custom.xml><?xml version="1.0" encoding="utf-8"?>
<Properties xmlns="http://schemas.openxmlformats.org/officeDocument/2006/custom-properties" xmlns:vt="http://schemas.openxmlformats.org/officeDocument/2006/docPropsVTypes"/>
</file>