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(Karšu lietotne)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uz starpinstitūciju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(VNI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iepriekš iebildumos jau norādītajam, lai arī noteikumu projekts nenoteic kārtību par īpašumtiesību izmaiņām, nevaram piekrist, ka noteikumu projekts neietekmē nekustamo īpašumu īpašniekus (lūdzam skatīt arī Finanšu ministrijas iepriekš izteikto iebildumu izziņas 47.punktā). Proti, neskatoties uz to, ka saskaņā ar Civillikuma 1104.pantu jūras piekraste pieder valstij līdz tai vietai, kuru sasniedz jūras augstākās bangas, līdz šim normatīvajos aktos nav bijusi noteikta jūras augstākās bangas robeža/vieta un tādējādi nekustamo īpašumu īpašniekiem nevarēja būt zināms, ka to īpašums atrodas jūras austākās bangas teritorijā un faktiski atbilstoši Civillikumā noteiktajam tas nemaz nepieder attiecīgajai privātpersonai, bet gan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anotācijas 1.3.apakšsadaļas "Pašreizējā situācija" svītrot norādīto informāciju, ka ar noteikumu projektu netiek uzlikti pienākumu vai kāds papildus slogs nekustamo īpašumu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tālākus iespējamus risinājumus saistībā ar īpašumtiesībām vērtēs Tieslietu ministrija, uzskatām, ka izstrādātais risinājums par īpašumtiesību izmaiņām būtu virzām vienlaikus ar noteikumu projektu, lai privātpersonām tiktu nodrošināts skaidrs rīcības plāns. Ja nepastāv iespēja risinājumu par īpašumtiesību izmaiņām virzīt vienlaikus ar šo noteikumu projektu, lūdzam anotāciju papildināt ar plānotajiem termiņiem uzdevuma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26.septembra sēdē izskatīto informatīvo ziņojumu "Par priekšlikumiem valsts budžeta prioritārajiem pasākumiem 2024. gadam un budžeta ietvaram 2024.–2026. gadam”" (TA lieta Nr.23-TA-2414, sēdes prot. Nr.47 43. §), ar kuru nav atbalstīts VARAM prioritārais pasākums “Zināšanās balstīta teritorijas attīstības plānošanas sistēmas pilnveide”, kurā bija iekļauts šī noteikumu projekta pasākumu īstenošanai nepieciešamais papildu finansējums, kā arī minētā protokollēmuma 21.punktā noteikto, lūdzam veikt nepieciešamos precizējumus anotācijas 3.sadaļā un protokollēmuma projekta 2.punktā atbilstoši aktuālajai situācijai un noteikumu projekta īstenošanu nodrošināt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29.09.2023.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29.09.2023.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