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22-TA-2915: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"Pilsēta cilvēkiem"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Izteikt 201.punkta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Bērniem līdz 17 gadiem, braucot ar velosipēdu, galvā jābūt aizsprādzētai aizsargķiverei."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“Pilsēta cilvēkiem” iebilst arī pret šobrīd esošo tiesību akta projekta “Grozījumi Ministru kabineta 2015. gada 2. jūnija noteikumos Nr. 279 “Ceļu satiksmes noteikumi” (22-TA-2915)” redakciju attiecībā uz paredzētajiem grozījumiem 201. punktā, saskaņā ar kuriem obligātas aizsargķiveres, braucot ar velosipēdu, paredzētas bērniem līdz 17 gadiem (šobrīd spēkā esošā redakcijā vecums, līdz kuram velobraucējiem obligāti jāizmanto aizsargķiveres, noteikts līdz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pieņemšana padarītu šīs par vienām no stingrākajām prasībām Eiropas Savienībā, un šie grozījumi (šobrīd piedāvātajā redakcijā) tiek piedāvāti bez diskusijām un nopietnas analīzes par ieguvumiem un ietekmi uz bērnu veselību, tai skaitā iespējamā velobraucēju skaita samazinājuma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pamatojot minēto prasību, teikts: “Vērtējot ceļu satiksmes negadījumu statistiku, kuros iesaistīti velosipēdisti, secināms, ka nepieciešamas papildus drošības prasības velosipēdu lietotājiem - 2022.gada sešos mēnešos ceļu satiksmes negadījumos cietušas 189 personas un 2023.gada - 231. 2022.ghadā bojāgājušas 12, bet 2023.gadā - 9 personas. Ņemot vērā minēto, Ceļu satiksmes noteikumos noteikta prasība bērniem līdz 17 gadu vecumam, braucot ar velosipēdu, galvā jābūt aizsprādzētai aizsargķiverei.". Vienlaikus nav informācijas, cik no šiem negadījumiem bijuši ar galvas traumām (un cik no tām būtu bijušas novēršamas ar ķiveri), cik no tiem cietuši bērni. Tāpat nav saprotams, kādēļ tieši 17 gadu vecums noteikts kā robeža, nevis, piemēram, 16, 15 vai 14 gadu vecums. Ņemot vērā minēto un to, ka vēl pirms gandrīz divām nedēļām Satiksmes ministrija publiski izziņoja par plānu noteikt ķiveru obligātumu visiem velobraucējiem, tas liek domāt, ka šie grozījumi ir redzami nepārdomāti, un to pamatojums nebalstās empīriskos datos.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tam, ka, lai arī ķiveres samazina risku gūt smagas galvas traumas ceļu satiksmes negadījumā, ārvalstīs veiktie pētījumi rāda, ka prasība obligāti izmantot ķiveri sabiedrības veselību ietekmē negatīvi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obligāta ķiveres lietošana dažādu praktisku apsvērumu dēļ attur cilvēkus no braukšanas ar velosipēdu, kā tas bija, piemēram, Austrālijas štatā Jaundienvidvelsā, kur pēc prasības izmantot ķiveres ieviešanas bērnu, kas brauc ar velosipēdu, skaits samazinājies par 36 % (https://roads-waterways.transport.nsw.gov.au/documents/roads/bicycles/bicycles-law-compliance-among-cyclists-nsw-1992.pdf);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velobraucēju skaita samazinājums negatīvi ietekmē palikušo velobraucēju drošību (https://injuryprevention.bmj.com/content/9/3/205);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ieguvumi veselībai no braukšanas ar velosipēdu ir desmitiem reižu lielāki par riskiem (https://www.cyclehelmets.org/1015.html), līdz ar to, pat nedaudz samazinoties velobraucēju skaitam, negatīvas sekas sabiedrības veselībai no fizisko aktivitāšu trūkuma būs daudz lielākas par to ieguvumu, ko palikušajiem velobraucējiem dod ķiveres.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gadījumā, ja bērni pusaudžu vecumā tiks atturēti doties uz skolu, pulciņiem, treniņiem u.c. ar velosipēdu, bet viņus vedīs vecāki ar automašīnām, tas negatīvi ietekmēs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pieņemt jebkādus lēmumus par prasību izmantot ķiveri, nepieciešams veikt dažādu vecuma grupu bērnu aptauju, lai noskaidrotu, kā jauns regulējums ietekmēs to, cik daudz viņi brauc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iespējams, daudzi bērni šobrīd neizmanto ķiveri tādēļ, ka skolā, pulciņos u.c. nav drošas vietas, kur to var atstāt tā, lai tā netiku nozagta vai sabojāta. Šī jautājuma sakārtošana, loti iespējams, būtiski palielinātu ķiveru izmantošanu bērnu vidū arī bez obligātās prasības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saglabāt bērniem pēc 12 gadu vecuma brīvu izvēli lietot vai nelietot ķiveri, braucot ar velosipēdu, bet velobraucēju drošību veicināt ar efektīvākām metodēm, kuras sevi ir pierādījušas ārvalstīs. Tāpat iepriekš minēto iemeslu dēļ ir izvērtējams, vai esošajā Ministru kabineta 2015. gada 2. jūnija noteikumu Nr. 279 “Ceļu satiksmes noteikumi” 201. punkta redakcijā ietvertā prasība bērniem līdz 12 gadu vecumam obligāti lietot ķiveri ir saglabājama.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Papildināt noteikumus ar 210.7. un 210.8.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 braukt pa pretējā virziena 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210.8. braukt pa velojoslu pretēji kustības virzienam blakus esošajā brauktuvē, izņemot gadījumus, kad velojosla atdalīta no pārējās brauktuves ar 920. vai 925. ceļu apzīmējumu vai ar paaugstinātu apmali un attiecīgais braukšanas virziens ir norādīts ar 937. ceļa apzīmējumu.".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210.7.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Braukt pa pretējā virziena brauktuvi aizliegts jebkādiem transportlīdzekļiem (spēkā esošo noteikumu 276.1. apakšpunkts), normas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210.8.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Velojosla atbilstoši definīcijai ir brauktuves daļa, līdz ar to tā nav </w:t>
            </w:r>
            <w:r w:rsidR="00000000" w:rsidRPr="00000000" w:rsidDel="00000000">
              <w:rPr>
                <w:b w:val="1"/>
                <w:u w:val="single"/>
                <w:rtl w:val="0"/>
              </w:rPr>
              <w:t xml:space="preserve">blakus</w:t>
            </w:r>
            <w:r w:rsidR="00000000" w:rsidRPr="00000000" w:rsidDel="00000000">
              <w:rPr>
                <w:rtl w:val="0"/>
              </w:rPr>
              <w:t xml:space="preserve"> brauktuvei - tā ir </w:t>
            </w:r>
            <w:r w:rsidR="00000000" w:rsidRPr="00000000" w:rsidDel="00000000">
              <w:rPr>
                <w:b w:val="1"/>
                <w:u w:val="single"/>
                <w:rtl w:val="0"/>
              </w:rPr>
              <w:t xml:space="preserve">uz</w:t>
            </w:r>
            <w:r w:rsidR="00000000" w:rsidRPr="00000000" w:rsidDel="00000000">
              <w:rPr>
                <w:rtl w:val="0"/>
              </w:rPr>
              <w:t xml:space="preserve">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likuma 37. pantā noteikts, ka Latvijā transportlīdzekļi pārvietojas pa ceļa labo pusi. Velojosla ir brauktuves un līdz ar to arī ceļa daļa, tātad jau šobrīd drīkst braukt tikai pa brauktuves labajā pusē esošo velojoslu, normas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braukt pa velojoslu pretēji pārējās brauktuves virzienam tiek noteiktas nevis ar ceļa apzīmējumiem (kuri var būt nodiluši vai neredzami zem peļķēm, dubļiem vai sniega), bet ar 855. papildzīmi kopā ar 501. ceļa zīmi un 849. papildzīmi kopā ar 301. ceļa zīmi - skat., piemēram, Bruņinieku ielu un Sporta ielu 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Papildināt noteikumus ar 212.</w:t>
            </w:r>
            <w:r w:rsidR="00000000" w:rsidRPr="00000000" w:rsidDel="00000000">
              <w:rPr>
                <w:vertAlign w:val="superscript"/>
                <w:rtl w:val="0"/>
              </w:rPr>
              <w:t xml:space="preserve">7</w:t>
            </w:r>
            <w:r w:rsidR="00000000" w:rsidRPr="00000000" w:rsidDel="00000000">
              <w:rPr>
                <w:rtl w:val="0"/>
              </w:rPr>
              <w:t xml:space="preserve">5. un 212.</w:t>
            </w:r>
            <w:r w:rsidR="00000000" w:rsidRPr="00000000" w:rsidDel="00000000">
              <w:rPr>
                <w:vertAlign w:val="superscript"/>
                <w:rtl w:val="0"/>
              </w:rPr>
              <w:t xml:space="preserve">7</w:t>
            </w:r>
            <w:r w:rsidR="00000000" w:rsidRPr="00000000" w:rsidDel="00000000">
              <w:rPr>
                <w:rtl w:val="0"/>
              </w:rPr>
              <w:t xml:space="preserve">6.apakšpunktu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7</w:t>
            </w:r>
            <w:r w:rsidR="00000000" w:rsidRPr="00000000" w:rsidDel="00000000">
              <w:rPr>
                <w:rtl w:val="0"/>
              </w:rPr>
              <w:t xml:space="preserve"> 5.   braukt pa pretējā virziena 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w:t>
            </w:r>
            <w:r w:rsidR="00000000" w:rsidRPr="00000000" w:rsidDel="00000000">
              <w:rPr>
                <w:vertAlign w:val="superscript"/>
                <w:rtl w:val="0"/>
              </w:rPr>
              <w:t xml:space="preserve">7</w:t>
            </w:r>
            <w:r w:rsidR="00000000" w:rsidRPr="00000000" w:rsidDel="00000000">
              <w:rPr>
                <w:rtl w:val="0"/>
              </w:rPr>
              <w:t xml:space="preserve"> 6.    braukt pa velojoslu pretēji kustības virzienam blakus esošajā brauktuvē, izņemot gadījumus, kad velojosla atdalīta no pārējās brauktuves ar 920. vai 925. ceļu apzīmējumu vai ar paaugstinātu apmali un attiecīgais braukšanas virziens ir norādīts ar 937. ceļa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212.7 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Braukt pa pretējā virziena brauktuvi aizliegts jebkādiem transportlīdzekļiem (spēkā esošo noteikumu 276.1. apakšpunkts), normas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212.7 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Velojosla atbilstoši definīcijai ir brauktuves daļa, līdz ar to tā nav </w:t>
            </w:r>
            <w:r w:rsidR="00000000" w:rsidRPr="00000000" w:rsidDel="00000000">
              <w:rPr>
                <w:b w:val="1"/>
                <w:u w:val="single"/>
                <w:rtl w:val="0"/>
              </w:rPr>
              <w:t xml:space="preserve">blakus</w:t>
            </w:r>
            <w:r w:rsidR="00000000" w:rsidRPr="00000000" w:rsidDel="00000000">
              <w:rPr>
                <w:rtl w:val="0"/>
              </w:rPr>
              <w:t xml:space="preserve"> brauktuvei - tā ir </w:t>
            </w:r>
            <w:r w:rsidR="00000000" w:rsidRPr="00000000" w:rsidDel="00000000">
              <w:rPr>
                <w:b w:val="1"/>
                <w:u w:val="single"/>
                <w:rtl w:val="0"/>
              </w:rPr>
              <w:t xml:space="preserve">uz</w:t>
            </w:r>
            <w:r w:rsidR="00000000" w:rsidRPr="00000000" w:rsidDel="00000000">
              <w:rPr>
                <w:rtl w:val="0"/>
              </w:rPr>
              <w:t xml:space="preserve">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likuma 37. pantā noteikts, ka Latvijā transportlīdzekļi pārvietojas pa ceļa labo pusi. Velojosla ir brauktuves un līdz ar to arī ceļa daļa, tātad jau šobrīd drīkst braukt tikai pa brauktuves labajā pusē esošo velojoslu, normas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braukt pa velojoslu pretēji pārējās brauktuves virzienam tiek noteiktas nevis ar ceļa apzīmējumiem (kuri var būt nodiluši vai neredzami zem peļķēm, dubļiem vai sniega), bet ar 855. papildzīmi kopā ar 501. ceļa zīmi un 849. papildzīmi kopā ar 301. ceļa zīmi - skat., piemēram, Bruņinieku ielu un Sporta ielu 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92.punktu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ceļš apzīmēts ar 505., 507., 509. vai 510. ceļa zīmi, pa joslu, kas paredzēta pasažieru sabiedriskajiem transportlīdzekļiem, pārējo transport­līdzekļu vadītājiem aizliegts braukt un apturēt transportlīdzekli šajā joslā, izņemot divriteņu mopēdus un motociklus, taksometrus, attiecīgi reģistrētus elektromobiļus, kuriem uzstādītas speciālas nozīmes transportlīdzekļa valsts reģistrācijas numura zīmes, un, ja kāda no minētajām zīmēm uzstādīta kopā ar 824. papildzīmi, – arī velosipēdus un elektroskrejriteņus. Pašvaldības ar attiecīgu lēmumu ir tiesīgas noteikt laikposmu, kad transportlīdzekļus drīkst apturēt joslā, kas paredzēta pasažieru sabiedriskajiem transportlīdzekļiem, lai iekrautu vai izkrautu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jāatļauj velosipēdu un elektroskrejriteņu kustība pa joslu, kas paredzēta pasažieru sabiedriskajiem transportlīdzekļiem, ja tā ir ierīkota brauktuves labajā pusē, jo braukšana pa otrās joslas malu pa vidu starp automašīnām no vienas puses un trolejbusiem un autobusiem no otras puses ir ļoti bīstama - pietuvojoties pārāk tuvu ceļa apzīmējuma līnijai, daļa velosipēda stūres atradīsies virs joslas, kas paredzēta pasažieru sabiedriskajiem transportlīdzekļiem, kā rezultātā ar ātrumu 50 km/h braucošs trolejbuss vai autobuss var uzbraukt velosipēdam vai elektroskrejritenim.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92.punktu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ceļš apzīmēts ar 505., 507., 509. vai 510. ceļa zīmi, pa joslu, kas paredzēta pasažieru sabiedriskajiem transportlīdzekļiem, pārējo transport­līdzekļu vadītājiem aizliegts braukt un apturēt transportlīdzekli šajā joslā, izņemot divriteņu mopēdus un motociklus, taksometrus, attiecīgi reģistrētus elektromobiļus, kuriem uzstādītas speciālas nozīmes transportlīdzekļa valsts reģistrācijas numura zīmes, un, ja kāda no minētajām zīmēm uzstādīta kopā ar 824. papildzīmi vai ja josla pasažieru sabiedriskajiem transportlīdzekļiem apzīmēta ar 505. ceļa zīmi un iekārtota brauktuves labajā pusē, – arī velosipēdus un elektroskrejriteņus. Pašvaldības ar attiecīgu lēmumu ir tiesīgas noteikt laikposmu, kad transportlīdzekļus drīkst apturēt joslā, kas paredzēta pasažieru sabiedriskajiem transportlīdzekļiem, lai iekrautu vai izkrautu kravu."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Simvulidi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10.08.2023. 23.35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10.08.2023. 23.35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Atzinumi_22-TA-2915.docx</dc:title>
</cp:coreProperties>
</file>

<file path=docProps/custom.xml><?xml version="1.0" encoding="utf-8"?>
<Properties xmlns="http://schemas.openxmlformats.org/officeDocument/2006/custom-properties" xmlns:vt="http://schemas.openxmlformats.org/officeDocument/2006/docPropsVTypes"/>
</file>