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esam iepazinušies ar likumprojektu (22-TA-155) un pret tajā ietvertajām normām iebildumu nav. Vienlaikus iepazīstoties ar izziņu vēlamies uzsvērt, ka pievienojamies Ekonomikas ministrijas un AS Latvenergo ierosinājumiem un priekšlikumiem par nepieciešamajām izmaiņām VPIL 88.panta pirmajā daļā. Uzskatām, ka minimāli nepieciešamās izmaiņas ir papildināt 88.panta pirmo daļu ar vārdu “pamatdarbība”, attiecīgi minētos kritērijus attiecinot tikai uz kapitālsabiedrību pamatdarbību, tādējādi pieļaujot situāciju kapitālsabiedrībām veikt papilddarbību ārpus minētajiem stingrajiem ierobežojumiem, nodrošinot gan kapitālsabiedrības finanšu stabilitāti un attīstību, tai skaitā resursu saimniecisku izmantošanu, gan klientu vajadzību apmierināšanu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atsevišķa šī likumprojekta virzība, šobrīd neatrisinot strīdu starp diametrāli pretējiem viedokļiem attiecībā uz publiskas personas kapitālsabiedrību tiesībām darboties un attiecīgi 88.panta pirmās daļas formulējumu, visticamāk nebūs iespējama un nebūtu loģiski pamatota, jo prioritāri risināms būtu tieši šis būtiskais VPIL 88.panta pirmās daļas tvērums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12.09.2024.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12.09.2024.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