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22-TA-2337: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2021.-2027.gadam 4.2.2.specifiskā atbalsta mērķa “Uzlabot izglītības un mācību sistēmu kvalitāti, iekļautību, efektivitāti un nozīmīgumu darba tirgū, tostarp ar neformālās un ikdienējās mācīšanās validēšanas palīdzību, lai atbalstītu pamatkompetenču, tostarp uzņēmējdarbības un digitālo prasmju, apguvi, un sekmējot duālo mācību sistēmu un māceklības ieviešanu” 4.2.2.5.pasākuma “Dalība starptautiskos izglītības pētījumos izglītības kvalitātes monitoringa sistēmas attīstībai un nodrošināšanai”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7.0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Projekta iesniegumā pasākuma īstenošanai kopējo pieejamo kopējo finansējumu plāno ne vairāk kā 5 776 088 euro apmērā, tai skaitā Eiropas Sociālā fonda plus finansējumu – 4 909 674 euro, valsts budžeta finansējumu – 866 414 euro apmērā.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precizēt pasākumam pieejamo finansējumu. Atkārtoti vēršam uzmanību, ka atbilstoši Programmas pielikumā norādītajai informācijai 4.2.2.5.pasākumam pieejamais finansējums ir 5 757 118 euro, tai skaitā ESF+ finansējums 4 893 550 euro un valsts budžeta finansējums 863 568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IZM ieskatā šī pasākuma īstenošanai nepieciešams lielāks pieejamais finansējums kā plānots Programmas pielikumā, lūdzam papildināt anotāciju, skaidrojot, kuram/kuriem no 4.2.prioritātes ESF+ pasākumiem tiks samazināts pieejamais finansējums, lai nodrošinātu pieejamā finansējuma, t.sk. elastības finansējuma, atbilstību 4.2.prioritātes ESF+ piešķīrumam.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Maija Upeniece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Projekta iesniedzējs pasākuma ietvaros ir Izglītības un zinātnes ministrija. Finansējuma saņēmējs nodrošina projekta īstenošanas finanšu plūsmas un darbību veidu skaidru nodalīšanu no citu finansējuma saņēmēja darbību finanšu plūsmām un darbību veidiem.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izdalīt kā jaunu punktu  noteikumu projekta 11. punkta otro teikumu: "Finansējuma saņēmējs nodrošina projekta īstenošanas finanšu plūsmas un darbību veidu skaidru nodalīšanu no citu finansējuma saņēmēja darbību finanšu plūsmām un darbību veidiem." un  to pārnest uz šo noteikumu projekta IV. nodaļu " Pasākuma īstenošanas nosacījumi un vienošanās vienpusēja uzteikuma nosacījumi". Ņemot vērā, ka minētās normas mērķis ir noteikt potenciālo finansējuma saņēmēju.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Skrinda (FM) (Sintija Gedvila (FM) vietā)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Finansējuma saņēmējam ir pienākums projekta iesniegumā pamatot šo noteikumu 13. punktā minēto sadarbības partneru izvēli, norādot konkrēto sadarbības partneru iesaistes mehānismu, nepieciešamību un to kompetences atbilstību plānotajām atbalstāmajām darbībām, kā arī ar katru sadarbības partneri noslēgt sadarbības līgumu par sadarbību atbalstāmo darbību īstenošanā. Sadarbības līgumā iekļauj vismaz šādus nosacījumus: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papildināt MKN projektu ar nosacījumiem par brīdi, līdz kuram noslēdzams sadarbības līgums (piemēram, līdz projekta iesnieguma iesniegšanai, līdz pirmā maksājuma pieprasījuma iesniegšanai vai līdz kādam citam brīdim).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Kvartenoka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Šo noteikumu 19.1.apakšpunktā minētās tiešās attiecināmās izmaksas ietver šādas izmaksu pozīcijas: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iebildumu par plašāku vienkāršoto izmaksu piemērošanu 20.punktā noteiktajām izmaksām, kas pašlaik tiek paredzētas kā faktiskās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atbilstoši izziņā sniegtajiem skaidrojumiem personāla atlīdzības izdevumiem nav iespējams piemērot vienoto personāla atlīdzības likmi līdz 20 %, tad aicinām izmantot citu vienotās likmes veidu, balstoties uz 2014.-2020.gada plānošanas perioda 8.3.6.1. pasākuma projekta faktisko izmaksu analīzi, ņemot vērā to, ka 4.2.2.5.pasākums ir 8.3.6.1.pasākuma turpinājums ar tādām pašām atbalstāmajām darbībām. Tā kā 4.2.2.5. pasākuma īstenošana paredzēta līdz 31.12.2029., vienkāršoto izmaksu piemērošana ilgtermiņā veicinātu administratīvā sloga un potenciālā kļūdu līmeņa mazināšanu.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atsaucoties uz izziņas 13.punktā iekļauto skaidrojumu, ka </w:t>
            </w:r>
            <w:r w:rsidR="00000000" w:rsidRPr="00000000" w:rsidDel="00000000">
              <w:rPr>
                <w:i w:val="1"/>
                <w:rtl w:val="0"/>
              </w:rPr>
              <w:t xml:space="preserve">nav iespējams jau sākotnēji personāla atlīdzības izmaksām piemērot vienkāršoto izmaksu metodiku jo 4.2.2.5.pasākuma projekts tiek  īstenots un izmaksas personālam jau tiek veiktas saskaņā ar  17.05.2022. MK sēdē apstiprināto IZ (22-TA-349)</w:t>
            </w:r>
            <w:r w:rsidR="00000000" w:rsidRPr="00000000" w:rsidDel="00000000">
              <w:rPr>
                <w:rtl w:val="0"/>
              </w:rPr>
              <w:t xml:space="preserve">, vēršam uzmanību, ka vienkāršoto izmaksu piemērošana ir attiecināma tikai uz maksājuma pieprasījumos iekļaujamajiem izdevumiem un neskar projekta darbiniekiem izmaksājamo atalgojumu.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Jodele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 tiešās attiecināmās personāla atlīdzības izmaksas gan finansējuma saņēmējam, gan sadarbības partnerim –  projekta vadības personāla atlīdzības izmaksas šo noteikumu  18.2.apakšpunktā noteiktās atbalstāmās darbības īstenošanai un īstenošanas personāla atlīdzības izmaksas šo noteikumu 18.1. un 18.2.apakšpunktā  noteiktās atbalstāmās darbības īstenošanai, pamatojoties uz darba līgumu vai rīkojumu par pretendenta iecelšanu ierēdņa amatā, tas ir atalgojums un darba devēja valsts sociālās apdrošināšanas obligātās iemaksas, pabalsti un kompensācijas atbilstoši finansējuma saņēmēja personāla politikai (izņemot virsstundas). Ja projekta vadības un īstenošanas personāla iesaiste projektā ir nodrošināta  saskaņā ar daļlaika attiecināmības principu, attiecināma ir ne mazāka kā 30 procentu noslodze no normāla darba laika;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20.1.apakšpunkta pēdējā redakcijā ir noteikts, ka arī uz </w:t>
            </w:r>
            <w:r w:rsidR="00000000" w:rsidRPr="00000000" w:rsidDel="00000000">
              <w:rPr>
                <w:u w:val="single"/>
                <w:rtl w:val="0"/>
              </w:rPr>
              <w:t xml:space="preserve">sadarbības partneri</w:t>
            </w:r>
            <w:r w:rsidR="00000000" w:rsidRPr="00000000" w:rsidDel="00000000">
              <w:rPr>
                <w:rtl w:val="0"/>
              </w:rPr>
              <w:t xml:space="preserve"> ir attiecināmas projekta </w:t>
            </w:r>
            <w:r w:rsidR="00000000" w:rsidRPr="00000000" w:rsidDel="00000000">
              <w:rPr>
                <w:u w:val="single"/>
                <w:rtl w:val="0"/>
              </w:rPr>
              <w:t xml:space="preserve">vadības</w:t>
            </w:r>
            <w:r w:rsidR="00000000" w:rsidRPr="00000000" w:rsidDel="00000000">
              <w:rPr>
                <w:rtl w:val="0"/>
              </w:rPr>
              <w:t xml:space="preserve"> personāla atlīdzības izmaksas. Lūdzam precizēt 20.1.apakšpunktu tā, lai tiktu paredzēts, ka projekta vadības personāla atlīdzības izmaksas attiecas tikai uz finansējuma saņēmēju.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Jodele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20.11. pakalpojumu un piegādes izmaksas finansējuma saņēmējam un sadarbības partnerim šo noteikumu 18. punktā minēto atbalstāmo darbību nodrošināšanai;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Izziņas 14. punktā par MK noteikumu 20.11. apakšpunktā ietvertajām izmaksām skaidrots, ka "ar komunikācijas pasākumiem  un rezultātu izplatīšanas pasākumiem saistītās izmaksas ir semināru un pasākumu organizēšanas un īstenošanas izmaksas (elektronisko, fizisko materiālu sagatavošana, tekstu ieskaņošana), tulkošanas un publicēšanas izmaksas;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MK noteikumu projekta 20.11. apakšpunktā ir atsauce uz MK noteikumu 18. punktu, proti uz visām atbalstāmajām darbībām, nevis uz komunikācijas pasākumiem. Vienlaikus vēršam uzmanību, ka arī, piemēram, MK noteikumu 20.12. un 20.13. apakšpunktā norādītās izmaksas pirmšķietami ir piegādes un pakalpojumu izmaksas 18. punktā norādīto darbību īstenošanai. Lai nodrošinātu nepārprotamību par MK noteikumu 20.11. apakšpunktā ietverto izmaksu saturu, aicinām to precizēt, proti konkretizēt izmaksu nosaukumu.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Kvartenoka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26.4. sadarbības partnera izmaksas tiek attiecinātas no Nodomu protokola par sadarbību par konkrēta pētījuma īstenošanu un priekšfinansēšanu noslēgšanas brīža, ja Nodomu protokolā nav atrunāts citādi.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iekļaut skaidrojumu par 26.3. un 26.4. apakšpunktos noteikto izmaksu attiecināmības perioda sākuma atšķirībām. Šobrīd nav saprotams, kuru sadarbības partneru izmaksas būtu jāatiecina no nodomu protokola  noslēgšanas, ņemot vērā, ka saskaņā ar MK noteikumu 17. punktā noteikto ar visiem sadarbības partneriem tiks slēgts sadarbības līgums, savukārt 26.3. apakšpunkts noteic, ka šādos gadījumos izmaksas ir attiecināmas no sadarbības līguma noslēgšanas brīža. Aicinām arī precizēt 26.3. un 26.4. apakšpunktu redakcijas, nodrošinot nepārprotamību par to piemērošanas gadījumiem.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Kvartenoka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2. sadaļu "Tiesību akta projekta ietekmējamās sabiedrības grupas, ietekme uz tautsaimniecības attīstību un administratīvo slogu" ar informāciju vai normatīvais akts radīs papildu slogu finansējuma saņēmējam un izvērtēt vai neradīsies arī papildu administratīvais slogs, tostarp arī juridiskajām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Skrinda (FM) (Sintija Gedvila (FM) vietā)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1.3.sadaļas 7.lpp. otrajā rindkopā precizēt informāciju, vārdus "Finansējuma palielināšanas gadījumā" aizstājot ar vārdiem "Pasākuma īstenošanas gadījumā".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Barkovska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1.3.punktu ar detalizētiem aprēķiniem, kas pamato nepieciešamo finansējuma apmēru 2023. gadam līdz vienošanās par projekta īstenošanu noslēgšanai ar Centrālo finanšu un līgumu aģentūru 4.2.2.5. pasākuma īstenošanai.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Barkovska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2022.gads ir beidzies un izdevumus tajā plānot nav iespējams, ir precizējama anotācijas 3.sadaļa “Tiesību akta projekta ietekme uz valsts budžetu un pašvaldību budžetiem”, finansējumu norādot sākot ar 2023.gadu.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Barkovska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Pieņemt zināšanai, ka Ministru kabineta 2022. gada 17. maija protokola Nr. 27. 33. § “Informatīvais ziņojums "Par Eiropas Savienības fondu darbības programmas "Izaugsme un nodarbinātība" 4.2.2. specifiskā atbalsta mērķa "Uzlabot izglītības un mācību sistēmu kvalitāti, iekļautību, efektivitāti un nozīmīgumu darba tirgū, tostarp ar neformālās un ikdienējās mācīšanās validēšanas palīdzību, lai atbalstītu pamatkompetenču, tostarp uzņēmējdarbības un digitālo prasmju, apguvi, un sekmējot duālo mācību sistēmu un māceklības ieviešanu" 4.2.2.5 pasākuma "Dalība starptautiskos izglītības pētījumos izglītības kvalitātes monitoringa sistēmas attīstībai un nodrošināšanai" projekta īstenošanu"” 3. punktā norādītās dalības izmaksas (Eiropas Komisijas līdzfinansējums,  valsts budžeta līdzfinansējums, nepieciešamais priekšfinansējums)  ICILS 2023 pētījumā 306 983 euro, ko veido 167 750 euro un 167 750 USD jeb 139 233 euro pēc Latvijas Bankas valūtas kursa ASV dolāram uz 01.03.2021, ir indikatīvas un var mainīties valūtas konvertācijas svārstību dēļ.</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izteikto iebildumu par protokollēmuma projekta 3.punktu, kā arī, lai pēc būtības nedublētu Ministru kabineta 2022. gada 17. maija protokola Nr. 27. 33. § 3.punktā jau noteikto informāciju, ir svītrojams Ministru kabineta sēdes protokollēmuma projekta 2.punkts. Vienlaikus, nepieciešamības gadījumā, informāciju par iespējamām valūtas kursa svārstībām pastāv iespēja iekļaut noteikumu projekta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Barkovska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Noteikt, ka šī protokollēmuma 2. punktā norādīto indikatīvo dalības izmaksu palielinājumu ICILS 2023 pētījumā, kas rodas ASV dolāra konvertācijas svārstību dēļ, nodrošina no 74.resora „Gadskārtējā valsts budžeta izpildes procesā pārdalāmais finansējums” programmas 80.00.00 „Nesadalītais finansējums Eiropas Savienības politiku instrumentu un pārējās ārvalstu finanšu palīdzības līdzfinansēto projektu un pasākumu īstenošanai” normatīvajos aktos noteiktajā kārtībā.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8.punkts nosaka kopējo pasākuma īstenošanai nepieciešamo finansējumu, bet noteikumu projekta 19.3.apakšpunkts paredz, ka pasākuma ietvaros var plānot neparedzētas izmaksas, savukārt 22.punkts noteic, ka projekta neparedzētās izmaksas, kas radušās par papildu darbu veikšanu vai pakalpojumu sniegšanu, kā arī dalības maksu sadārdzinājuma un neparedzamu apstākļu dēļ ir kļuvušas nepieciešamas projekta īstenošanai, finansējuma saņēmējs var plānot kā vienu izmaksu pozīciju, kas nepārsniedz piecus procentus no šo noteikumu 19.1. apakšpunktā minētajām kopējām projekta tiešajām attiecināmajām izmaksām. Attiecīgi dalības maksas iespējamais sadārdzinājums valūtas kursa svārstību dēļ ir sedzams pasākuma kopējo izdevumu ietvaros.  Ministra kabineta noteikumi Nr. 421 "Kārtība, kādā veic gadskārtējā valsts budžeta likumā noteiktās apropriācijas izmaiņas" neparedz iespēju no budžeta resora "74. Gadskārtējā valsts budžeta izpildes procesā pārdalāmais finansējums” programmas 80.00.00 „Nesadalītais finansējums Eiropas Savienības politiku instrumentu un pārējās ārvalstu finanšu palīdzības līdzfinansēto projektu un pasākumu īstenošanai” kompensēt izmaksas, kas radušās valūtas kursa svārstību dēļ. Ņemot vērā minēto Ministru kabineta sēdes protokollēmuma projekta 3.punkts ir svītrojams.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Barkovska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Izglītības un zinātnes ministrijai nekavējoties informēt Ministru kabinetu, ja izmaksas, kas 4.2.2.5. pasākumā veiktas pirms projekta iesnieguma apstiprināšanas, varētu netikt vai netiek attiecinātas finansēšanai no Eiropas Sociālā fonda Plus, sagatavojot attiecīgu informatīvo ziņojumu, kurā norādīts detalizēts apraksts par radušos situāciju, neatbilstības rašanās cēloņiem, finansiālo ietekmi, un sniegt aprakstu par iespējamo risinājumu, lai turpinātu projekta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 Ministru kabineta sēdes protokollēmuma projekta 5.punktu, paredzot, ka ja izmaksas, kas 4.2.2.5. pasākumā veiktas pirms projekta iesnieguma apstiprināšanas, varētu netikt vai netiek attiecinātas finansēšanai no Eiropas Sociālā fonda Plus, Izglītības un zinātnes ministrijai ir jāiesniedz Ministru kabinetā fiskāli neitrāli priekšlikumi situācijas risinājumam.”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Barkovska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rezultāta rādītāju - iestādes, kas ieviesušas uzlabojumus izglītības un mācību sistēmu kvalitātei, efektivitātei un atbilstībai darba tirgum – 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Rosinām precizēt rādītāja veidu atbilstoši 4.2.2.SAM rādītāju metodoloģijas aprakstā norādītajam rādītāja veidam "programmas specifiskais rezultāta rādītājs".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Maija Upeniece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Pasākuma ietvaros plānotais kopējais finansējums ir 6 835 606 euro, tai skaitā Eiropas Sociālā fonda plus finansējums 5 810 265 euro un valsts budžeta finansējums – 1 025 341 euro. Maksimālais attiecināmais  Eiropas Sociālā fonda plus finansējuma apmērs nepārsniedz 85 % no projekta kopējā attiecināmā finansējuma.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norādīt šo noteikumu 8. punktā, turpmākajā tekstā un citos dokumentos, kur attiecināms, minētā ES fonda pierakstu atbilstoši E</w:t>
            </w:r>
            <w:r w:rsidR="00000000" w:rsidRPr="00000000" w:rsidDel="00000000">
              <w:rPr>
                <w:rtl w:val="0"/>
              </w:rPr>
              <w:t xml:space="preserve">iropas Parlamenta un Padomes 2021. gada 24. jūnija Regulai (ES) 2021/1057, ar ko izveido Eiropas Sociālo fondu Plus (ESF+) un atceļ Regulu (ES) Nr. 1296/2013</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Skrinda (FM) (Sintija Gedvila (FM) vietā)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Projekta iesniegumā pasākuma īstenošanai kopējo pieejamo kopējo finansējumu plāno ne vairāk kā 5 776 088 euro apmērā, tai skaitā Eiropas Sociālā fonda plus finansējumu – 4 909 674 euro, valsts budžeta finansējumu – 866 414 euro apmērā.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aizvietot vārdus "kopējo pieejamo kopējo finansējumu" ar "pieejamo kopējo finansējumu", ņemot vērā to, ka vārds "kopējo" norādīts divas reizes.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Rasa Teivāne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20.5. iekšzemes komandējumu un dienesta braucienu izmaksas šo noteikumu 18.punktā minēto atbalstāmo darbību nodrošināšanai  finansējuma saņēmēja projekta vadības un īstenošanas personālam, kā arī sadarbības partnera īstenošanas personālam. Iekšzemes komandējumu un darba (dienesta) braucienu izmaksām piemēro vadošās iestādes apstiprināto vienas vienības izmaksu standarta likmi atbilstoši vadošās iestādes metodikai "Vienas vienības izmaksu standarta likmes aprēķina un piemērošanas metodika iekšzemes komandējumu izmaksām darbības programmas "Izaugsme un nodarbinātība"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09.12.2022. apstiprinātos grozījumus, lūdzam precizēt metodikas nosaukumu uz "Vienas vienības izmaksu standarta likmes aprēķina un piemērošanas metodika iekšzemes komandējumu izmaksām darbības programmas “Izaugsme un nodarbinātība” un Eiropas Savienības kohēzijas politikas programmas 2021.–2027.gadam īstenošanai"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Aija Trizna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20.7. transporta izmaksas (maksa par degvielu, transportlīdzekļa noma, transporta pakalpojumu pirkšana, sabiedriskā transporta izmantošana, izņemot darbiniekam piederoša personiskā transportlīdzekļa izmantošanas kompensāciju par nobraukto kilometru) finansējuma saņēmēja projekta vadības un īstenošanas personālam un sadarbības partnera īstenošanas personālam šo noteikumu 18.punktā minēto atbalstāmo darbību nodrošināšanai. Degvielas izmaksas vieglajam transportlīdzeklim un reģionālās starppilsētu nozīmes un reģionālās vietējās nozīmes sabiedriskā transporta izmaksas tiek segtas atbilstoši Finanšu ministrijas metodikā "Vienas vienības izmaksu standarta likmes aprēķina un piemērošanas metodika 1 km izmaksām darbības programmas "Izaugsme un nodarbinātība" īstenošanai" iekļautajiem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metodikas nosaukumu uz "Vienas vienības izmaksu standarta likmes aprēķina un piemērošanas metodika 1 km izmaksām darbības programmas “Izaugsme un nodarbinātība” un Eiropas Savienības kohēzijas politikas programmas 2021.–2027.gadam  īstenošanai"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Aija Trizna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20.12. projekta informācijas un publicitātes pasākumu izmaksas finansējuma saņēmējam, atbilstoši normatīvajiem aktiem par Eiropas Savienības fondu ieviešanu 2021.–2027.gada plānošanas periodā šo noteikumu 18.3. apakšpunktā minētās atbalstāmās darbības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20.12. apakšpunktu ar vārdiem “Eiropas Parlamenta un Padomes 2021. gada 24. jūnija Regulas (ES) Nr. 2021/1060 47. pantu un 50. pantu” aiz vārda “atbilstoši”.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Skrinda (FM) (Sintija Gedvila (FM) vietā)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20.12. projekta informācijas un publicitātes pasākumu izmaksas finansējuma saņēmējam, atbilstoši normatīvajiem aktiem par Eiropas Savienības fondu ieviešanu 2021.–2027.gada plānošanas periodā šo noteikumu 18.3. apakšpunktā minētās atbalstāmās darbības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Rosinām precizēt 20.12.apakšpunkta redakciju, ņemot vērā, ka noteikumu projekta 30.punktā noteikti nosacījumi (normatīvie akti), kas finansējuma saņēmējam jāievēro, nodrošinot informācijas un publicitātes pasākumus.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Maija Upeniece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Uzsākot projekta īstenošanu, šo noteikumu III.nodaļā minētajām izmaksām piemēro faktisko izmaksu metodi, izņemot šo noteikumu 19.2., 20.5. un 20.7.apakšpunktā minētajām izmaksām, kurām piemēro vienkāršoto izmaksu metodi. Atbildīgā iestāde projekta īstenošanas laikā var izstrādāt vienkāršoto izmaksu metodiku par izmaksām, kuras projektā tiek segtas kā faktiskās. Metodiku piemēro, ja to nosaka MK noteikumi. Metodiku piemēro atbilstoši tajā noteiktajam spēkā stāšanās laikam un nosacījumiem.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norādīt noteikumu projekta 24. punktā Ministru kabineta noteikumu nosaukumu uz kuriem ir atsauce minētajā 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Skrinda (FM) (Sintija Gedvila (FM) vietā)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Uzsākot projekta īstenošanu, šo noteikumu III.nodaļā minētajām izmaksām piemēro faktisko izmaksu metodi, izņemot šo noteikumu 19.2., 20.5. un 20.7.apakšpunktā minētajām izmaksām, kurām piemēro vienkāršoto izmaksu metodi. Atbildīgā iestāde projekta īstenošanas laikā var izstrādāt vienkāršoto izmaksu metodiku par izmaksām, kuras projektā tiek segtas kā faktiskās. Metodiku piemēro, ja to nosaka MK noteikumi. Metodiku piemēro atbilstoši tajā noteiktajam spēkā stāšanās laikam un nosacījumiem.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24.punkta pirmajā teikumā aizstāt vārdus "vienkāršoto izmaksu metodi" ar "vienkāršotās izmaksas".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Aija Trizna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Pasākuma īstenošanas nosacījumi un vienošanās vienpusēja uzteikuma nosacījumi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Rosinām precizēt IV.sadaļas nosaukumu, ņemot vērā, ka noteikumu projekts neparedz vienošanās vienpusēja uzteikuma nosacījumus.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Maija Upeniece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26.2. sadarbības partnera Latvijas Universitāte izmaksas pētījumā ICILS 2023 tiek attiecinātas sākot ar 2022. gada 1. janvāri saskaņā ar Ministru kabineta 2022. gada 17. maija sēdes protokola Nr.27 lēmumu;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26.2. apakšpunktā minēto Ministru kabineta 2022. gada 17. maija sēdes protokola Nr.27 lēmumu ar atsauci uz paragrāfu, lai nodrošinātu izsekojamību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Skrinda (FM) (Sintija Gedvila (FM) vietā)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Finansējuma saņēmējs un sadarbības partneri izmantojot projekta ietvaros piešķirtos publiskos līdzekļus, īstenos projektus, kas nav saistīti ar saimnieciskās darbības veikšanu, atbilstoši Eiropas Komisijas paziņojumā “Nostādnes par valsts atbalstu pētniecībai, izstrādei un inovācijai” noteiktajām nesaimnieciska rakstura darbībām.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Eiropas Komisija ir 2022.gadā pieņēmusi jaunu  paziņojumu "</w:t>
            </w:r>
            <w:r w:rsidR="00000000" w:rsidRPr="00000000" w:rsidDel="00000000">
              <w:rPr>
                <w:i w:val="1"/>
                <w:rtl w:val="0"/>
              </w:rPr>
              <w:t xml:space="preserve">Pētniecībai, izstrādei un inovācijai piešķiramā valsts atbalsta nostādnes</w:t>
            </w:r>
            <w:r w:rsidR="00000000" w:rsidRPr="00000000" w:rsidDel="00000000">
              <w:rPr>
                <w:rtl w:val="0"/>
              </w:rPr>
              <w:t xml:space="preserve">" (2022/C 414/01) (OJ C 414, 28.10.2022, p. 1–38), kas aizstāj 2014.gadā pieņemto Eiropas Komisijas paziņojumu "</w:t>
            </w:r>
            <w:r w:rsidR="00000000" w:rsidRPr="00000000" w:rsidDel="00000000">
              <w:rPr>
                <w:i w:val="1"/>
                <w:rtl w:val="0"/>
              </w:rPr>
              <w:t xml:space="preserve">Nostādnes par valsts atbalstu pētniecībai, izstrādei un inovācijai</w:t>
            </w:r>
            <w:r w:rsidR="00000000" w:rsidRPr="00000000" w:rsidDel="00000000">
              <w:rPr>
                <w:rtl w:val="0"/>
              </w:rPr>
              <w:t xml:space="preserve">" (2014/C 198/01). Aicinām pārskatīt MK noteikumu projektā un tā anotācijā lietotās atsauces un atsaukties uz šobrīd spēkā esošo Eiropas Komisijas paziņojumu. Vienlaikus vēršam uzmanību, ka, no juridiskās tehniskas viedokļa, būtu vēlams MK noteikumu projektā ietvert normas būtību, jo atsauces uz Eiropas Komisijas vadlīnijām nacionālajos tiesību aktos parasti netiek pieļautas.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Liede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 Noslēguma jautājums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šīs sadaļas nepieciešamību, ņemot vērā, ka Eiropas Komisija ir apstiprinājusi Latvijas virzīto Eiropas Savienības kohēzijas politikas programmu 2021.–2027.gadam.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Maija Upeniece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pārbaudīt un nepieciešamības gadījumā labot Anotācijas 1. sadaļas "tiesību akta projekta izstrādes nepieciešamība" 1.3. punkta "Pašreizējā situācija, problēmas un risinājumi" "Risinājuma apraksts" 50. rindkopā norādītās atsauces tīmekļa vietnes saiti.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Skrinda (FM) (Sintija Gedvila (FM) vietā)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norādīto informāciju par intervences kodiem un sadalījumu starp tiem, norādot ESF+ finansējuma apjomu katram no intervences kodiem.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Maija Upeniece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spēkā stāšanās kārtību, ņemot vērā, ka Eiropas Komisija ir apstiprinājusi Latvijas virzīto Eiropas Savienības kohēzijas politikas programmu 2021.–2027.gadam.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Maija Upeniece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informāciju par 4.2.2.5.pasākuma ietvaros tiek plānotajiem sasniedzamajiem rādītājiem līdz 2029.gada 31.decembrim atbilstoši noteikumu projekta 4.punktā veiktajiem precizējumiem.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Maija Upeniece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1.3.sadaļā precizēt informāciju rindkopā, kas sākas ar vārdiem "Finansējuma palielināšanas gadījumā [..]". Ja minētās darbības plānots īstenot par elastības finansējumu, ja tāds tiks piešķirts šī pasākuma īstenošanai, lūdzam rindkopu sākt, piemēram, ar vārdiem "Ja pēc Eiropas Komisijas lēmuma par vidusposma pārskatu pasākuma īstenošanai tiek palielināts kopējais pieejamais finansējums,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Maija Upeniece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Rosinām precizēt rindkopā, kas sākas ar vārdiem "Projekta īstenošanas uzraudzībai Izglītības un zinātnes ministrija IZM izveidos uzraudzības padomi [..]" norādīto informāciju atbilstoši noteikumu projekta 28.punktā veiktajiem precizējumiem.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Maija Upeniece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Noteikt, ka 2023. gadā līdz vienošanās par projekta īstenošanu noslēgšanai ar Centrālo finanšu un līgumu aģentūru 4.2.2.5. pasākuma īstenošanai nepieciešamo finansējumu attiecināmo izmaksu segšanai Izglītības un zinātnes ministrijai kā 4.2.2.5. pasākuma plānotajam finansējuma saņēmējam līdz 77 863,74 euro apmērā nodrošina no 74. resora "Gadskārtējā valsts budžeta izpildes procesā pārdalāmais finansējums" programmas 80.00.00 "Nesadalītais finansējums Eiropas Savienības politiku instrumentu un pārējās ārvalstu finanšu palīdzības līdzfinansēto projektu un pasākumu īstenošanai" normatīvajos aktos noteiktajā kārtībā.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finansējums valsts budžetā tiek plānots pilnos euro, attiecīgi 4.punktā finansējums ir norādāms pilnos euro bez euro centiem.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Barkovska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22-TA-2337</w:t>
    </w:r>
    <w:r>
      <w:br/>
    </w:r>
    <w:r w:rsidR="00000000" w:rsidRPr="00000000" w:rsidDel="00000000">
      <w:rPr>
        <w:rtl w:val="0"/>
      </w:rPr>
      <w:t xml:space="preserve">Izdrukāts 05.01.2023. 14.43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22-TA-2337</w:t>
    </w:r>
    <w:r>
      <w:br/>
    </w:r>
    <w:r w:rsidR="00000000" w:rsidRPr="00000000" w:rsidDel="00000000">
      <w:rPr>
        <w:rtl w:val="0"/>
      </w:rPr>
      <w:t xml:space="preserve">Izdrukāts 05.01.2023. 14.43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Atzinumi_22-TA-2337.docx</dc:title>
</cp:coreProperties>
</file>

<file path=docProps/custom.xml><?xml version="1.0" encoding="utf-8"?>
<Properties xmlns="http://schemas.openxmlformats.org/officeDocument/2006/custom-properties" xmlns:vt="http://schemas.openxmlformats.org/officeDocument/2006/docPropsVTypes"/>
</file>