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4.1.1.3. pasākuma “Primārās veselības aprūpes lomas stiprināšana, attīstot infrastruktūru”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22.1.</w:t>
            </w:r>
            <w:r w:rsidR="00000000" w:rsidRPr="00000000" w:rsidDel="00000000">
              <w:rPr>
                <w:rtl w:val="0"/>
              </w:rPr>
              <w:t xml:space="preserve"> apakšpunktā minētais finansējuma saņēmējs infrastruktūras attīstībai piesaista sadarbības partnerus – ārstniecības iestādes, kurām finansējuma saņēmējs nodrošina telpas valsts apmaksāto primārās un sekundārās veselības aprūpes pakalpojumu sniegšanai, un minētajiem sadarbības partneriem un šo noteikumu </w:t>
            </w:r>
            <w:r w:rsidR="00000000" w:rsidRPr="00000000" w:rsidDel="00000000">
              <w:rPr>
                <w:rtl w:val="0"/>
              </w:rPr>
              <w:t xml:space="preserve">22.2.</w:t>
            </w:r>
            <w:r w:rsidR="00000000" w:rsidRPr="00000000" w:rsidDel="00000000">
              <w:rPr>
                <w:rtl w:val="0"/>
              </w:rPr>
              <w:t xml:space="preserve"> apakšpunktā minētajam finansējuma saņēmējam komercdarbības atbalsts tiek piešķirts atbilstoši šīs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vienotu projekta iesniegumu izvērtēšanu, lūdzam papildināt noteikumu 13.punktu, norādot gala labuma saņēmējus - finansējuma saņēmējs un/vai sadarbības partneris. Ja ir paredzēts, ka finansējuma saņēmējs piešķir tālāk atbalstu sadarbības partnerim vispārējas tautsaimnieciskas nozīmes pakalpojumu sniegšanai, nepieciešams to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norādot, kādos gadījumos valsts atbalsts tiek piešķirts sadarbības partneriem un kādos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Akmentiņa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un sadarbības partneri (ja attiecināms), iesaistoties projekta īstenošanā, nodrošina, lai funkcijas, kuras tie pilda projekta īstenošanā, tiktu nodalītas no pamatfunkciju izpildes un saimnieciskās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27. punktu ar nosacījumu, ka finansējuma saņēmējs un sadarbības partneris (ja attiecināms) nodrošinās atsevišķu darījumu ieņēmumu un izdevumu grāmatvedības uzskaiti, kā arī darbību un ar to īstenošanu saistīto finanšu plūsmu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šo noteikumu 22.2. apakšpunktā minētais finansējuma saņēmējs projekta ietvaros piesaista sadarbības partneri, tad, saskaņā ar šo noteikumu </w:t>
            </w:r>
            <w:r w:rsidR="00000000" w:rsidRPr="00000000" w:rsidDel="00000000">
              <w:rPr>
                <w:rtl w:val="0"/>
              </w:rPr>
              <w:t xml:space="preserve">32.</w:t>
            </w:r>
            <w:r w:rsidR="00000000" w:rsidRPr="00000000" w:rsidDel="00000000">
              <w:rPr>
                <w:rtl w:val="0"/>
              </w:rPr>
              <w:t xml:space="preserve"> punktu, šo noteikumu </w:t>
            </w:r>
            <w:r w:rsidR="00000000" w:rsidRPr="00000000" w:rsidDel="00000000">
              <w:rPr>
                <w:rtl w:val="0"/>
              </w:rPr>
              <w:t xml:space="preserve">22.2.</w:t>
            </w:r>
            <w:r w:rsidR="00000000" w:rsidRPr="00000000" w:rsidDel="00000000">
              <w:rPr>
                <w:rtl w:val="0"/>
              </w:rPr>
              <w:t xml:space="preserve"> apakšpunktā minētais finansējuma saņēmējs un sadarbības partneris (ja attiecināms) un šo noteikumu </w:t>
            </w:r>
            <w:r w:rsidR="00000000" w:rsidRPr="00000000" w:rsidDel="00000000">
              <w:rPr>
                <w:rtl w:val="0"/>
              </w:rPr>
              <w:t xml:space="preserve">24.</w:t>
            </w:r>
            <w:r w:rsidR="00000000" w:rsidRPr="00000000" w:rsidDel="00000000">
              <w:rPr>
                <w:rtl w:val="0"/>
              </w:rPr>
              <w:t xml:space="preserve"> punktā minētie sadarbības partneri aprēķina infrastruktūras, kurā sniedz primārās un sekundārās veselības aprūpes pakalpojumus izmantošanas proporciju un piemēro to projekta kopējam finansējumam, nosakot publiskā un privātā finansējuma apmēru, atbilstoši šādam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43.punktā norādīto kārtību attīstāmās infrastruktūras izmantošanas proporcijas aprēķinam, jo no šī brīža redakcijas nav saprotams, kam (finansējuma saņēmējam vai sadarbības partnerim) infrastruktūras izmantošanas aprēķins tiek piemērots. Ja ir iespējami vairāki gadījumi, lūdzam tos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Akmentiņa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šo noteikumu 22.2. apakšpunktā minētais finansējuma saņēmējs projekta ietvaros piesaista sadarbības partneri, tad, saskaņā ar šo noteikumu </w:t>
            </w:r>
            <w:r w:rsidR="00000000" w:rsidRPr="00000000" w:rsidDel="00000000">
              <w:rPr>
                <w:rtl w:val="0"/>
              </w:rPr>
              <w:t xml:space="preserve">32.</w:t>
            </w:r>
            <w:r w:rsidR="00000000" w:rsidRPr="00000000" w:rsidDel="00000000">
              <w:rPr>
                <w:rtl w:val="0"/>
              </w:rPr>
              <w:t xml:space="preserve"> punktu, šo noteikumu </w:t>
            </w:r>
            <w:r w:rsidR="00000000" w:rsidRPr="00000000" w:rsidDel="00000000">
              <w:rPr>
                <w:rtl w:val="0"/>
              </w:rPr>
              <w:t xml:space="preserve">22.2.</w:t>
            </w:r>
            <w:r w:rsidR="00000000" w:rsidRPr="00000000" w:rsidDel="00000000">
              <w:rPr>
                <w:rtl w:val="0"/>
              </w:rPr>
              <w:t xml:space="preserve"> apakšpunktā minētais finansējuma saņēmējs un sadarbības partneris (ja attiecināms) un šo noteikumu </w:t>
            </w:r>
            <w:r w:rsidR="00000000" w:rsidRPr="00000000" w:rsidDel="00000000">
              <w:rPr>
                <w:rtl w:val="0"/>
              </w:rPr>
              <w:t xml:space="preserve">24.</w:t>
            </w:r>
            <w:r w:rsidR="00000000" w:rsidRPr="00000000" w:rsidDel="00000000">
              <w:rPr>
                <w:rtl w:val="0"/>
              </w:rPr>
              <w:t xml:space="preserve"> punktā minētie sadarbības partneri aprēķina infrastruktūras, kurā sniedz primārās un sekundārās veselības aprūpes pakalpojumus izmantošanas proporciju un piemēro to projekta kopējam finansējumam, nosakot publiskā un privātā finansējuma apmēru, atbilstoši šādam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44. un 45. punktā minēto, lūdzam izvērtēt, vai noteikumu projekta 43. punktā minētais nosacījums attiecībā uz pienākumu aprēķināt infrastruktūras, kurā sniedz primārās un sekundārās veselības aprūpes pakalpojumus izmantošanas proporciju, attiecas uz noteikumu projekta 22.2. apakšpunktā minēto finansējuma saņēmēju tikai tādā gadījumā, ja tas projekta ietvaros piesaista sadarbības partneri. Piemērojot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(turpmāk - VTNP lēmums), šo regulējumu var attiecināt tikai uz valsts apmaksātajiem veselības aprūpes pakalpojumiem, līdz ar to jānodrošina, ka proporcija infrastruktūrai, kurā sniedz valsts apmaksātos veselības aprūpes pakalpojumus, finansējuma saņēmējam ir jāaprēķina jebkurā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attiecībā uz noteikumu projektā 22.1. apakšpunktā minēto finansējuma saņēmēju, kuram obligāti ir jāpiesaista sadarbības partneri, kuriem atbalsts tiek nodrošināts, piemērojot VTNP lēmumu, jānodrošina, ka tiek aprēķināta proporcija un VTNP lēmumu attiecina tikai uz to infrastruktūras daļu, kuru sadarbības partneris izmanto valsts apmaksāto veselības aprūpes pakalpojumu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un sadarbības partneris (ja attiecināms) projekta iesniegumam pievieno apliecinājumu, ka attiecībā uz to nepastāv Maksātnespējas likumā noteiktie ierobežojumi tiesiskās aizsardzības procesa lietas ierosināšanai un pasludināšanai.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21. punktu, jo gadījumā, ja projekta iesniegumam tiek pievienots attiecīgais apliecinājums, tad šis pienākums ir attiecināms uz </w:t>
            </w:r>
            <w:r w:rsidR="00000000" w:rsidRPr="00000000" w:rsidDel="00000000">
              <w:rPr>
                <w:u w:val="single"/>
                <w:rtl w:val="0"/>
              </w:rPr>
              <w:t xml:space="preserve">projekta iesniedzēju</w:t>
            </w:r>
            <w:r w:rsidR="00000000" w:rsidRPr="00000000" w:rsidDel="00000000">
              <w:rPr>
                <w:rtl w:val="0"/>
              </w:rPr>
              <w:t xml:space="preserve">, nevis finansējuma saņēmēju, jo atbilstoši Eiropas Savienības fondu 2021.—2027. gada plānošanas perioda vadības likuma 1. panta 3. punktam finansējuma saņēmējs ir persona, kuras projekta iesniegums ir apstiprināts minētajā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uz projekta iesniegšanas brīdi šo noteikumu </w:t>
            </w:r>
            <w:r w:rsidR="00000000" w:rsidRPr="00000000" w:rsidDel="00000000">
              <w:rPr>
                <w:rtl w:val="0"/>
              </w:rPr>
              <w:t xml:space="preserve">22.1.</w:t>
            </w:r>
            <w:r w:rsidR="00000000" w:rsidRPr="00000000" w:rsidDel="00000000">
              <w:rPr>
                <w:rtl w:val="0"/>
              </w:rPr>
              <w:t xml:space="preserve"> apakšpunktā minētajam finansējuma saņēmējam nav piešķirts metodiskās vadības institūcijas ģimenes medicīnas jomā statuss, tad projekta iesniegumam pievieno Veselības ministrijas kā nozares ministrijas apliecinājumu, ka metodiskās vadības institūcijas ģimenes medicīnas jomā statuss tiks piešķirts Rīgas Stradiņa universitātei ne vēlāk kā līdz projekta pabeigšanai.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23. punktu, ņemot vērā, ka š.g. 22. oktobrī jau pieņemts lēmums piešķirt Rīgas Stradiņa universitātei metodiskās vadības institūcijas statusu ģimenes medicīnas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sadarbības partneru statusā pasākumā var piesaistīt ārstniecības iestādes, kas nodrošina valsts apmaksātus primārās un sekundārās veselības aprūpes pakalpojumus. Lai nodrošinātu šo noteikumu </w:t>
            </w:r>
            <w:r w:rsidR="00000000" w:rsidRPr="00000000" w:rsidDel="00000000">
              <w:rPr>
                <w:rtl w:val="0"/>
              </w:rPr>
              <w:t xml:space="preserve">13.</w:t>
            </w:r>
            <w:r w:rsidR="00000000" w:rsidRPr="00000000" w:rsidDel="00000000">
              <w:rPr>
                <w:rtl w:val="0"/>
              </w:rPr>
              <w:t xml:space="preserve"> punktā noteikto prasību, šo noteikumu </w:t>
            </w:r>
            <w:r w:rsidR="00000000" w:rsidRPr="00000000" w:rsidDel="00000000">
              <w:rPr>
                <w:rtl w:val="0"/>
              </w:rPr>
              <w:t xml:space="preserve">22.1.</w:t>
            </w:r>
            <w:r w:rsidR="00000000" w:rsidRPr="00000000" w:rsidDel="00000000">
              <w:rPr>
                <w:rtl w:val="0"/>
              </w:rPr>
              <w:t xml:space="preserve"> apakšpunktā  minētais finansējuma saņēmējs sadarbības partneru statusā obligāti piesaista sadarbības partnerus, kas sniedz valsts apmaksātos primārās un / vai sekundārās veselības aprūpes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tiesību normai ir jābūt skaidrai, lai tās lietotājs un piemērotājs gūtu nepārprotamu priekšstatu par normā ietvertajiem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24. punktu vai 13. punktu, jo no noteikumu projekta 24. punkta pirmā teikuma nav viennozīmīgi interpretējams, kādos gadījumos sadarbības partneru statusā </w:t>
            </w:r>
            <w:r w:rsidR="00000000" w:rsidRPr="00000000" w:rsidDel="00000000">
              <w:rPr>
                <w:u w:val="single"/>
                <w:rtl w:val="0"/>
              </w:rPr>
              <w:t xml:space="preserve">var piesaistīt</w:t>
            </w:r>
            <w:r w:rsidR="00000000" w:rsidRPr="00000000" w:rsidDel="00000000">
              <w:rPr>
                <w:rtl w:val="0"/>
              </w:rPr>
              <w:t xml:space="preserve"> (t.i. nav pienākuma piesaistīt) ārstniecības iestādes, kas nodrošina valsts apmaksātus primārās un sekundārās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noteikumu projekta 24. punkts nedublē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uz projekta iesnieguma iesniegšanas brīdi projekta iesniedzējs nav nodrošinājis šo noteikumu </w:t>
            </w:r>
            <w:r w:rsidR="00000000" w:rsidRPr="00000000" w:rsidDel="00000000">
              <w:rPr>
                <w:rtl w:val="0"/>
              </w:rPr>
              <w:t xml:space="preserve">24.</w:t>
            </w:r>
            <w:r w:rsidR="00000000" w:rsidRPr="00000000" w:rsidDel="00000000">
              <w:rPr>
                <w:rtl w:val="0"/>
              </w:rPr>
              <w:t xml:space="preserve"> punktā un / vai </w:t>
            </w:r>
            <w:r w:rsidR="00000000" w:rsidRPr="00000000" w:rsidDel="00000000">
              <w:rPr>
                <w:rtl w:val="0"/>
              </w:rPr>
              <w:t xml:space="preserve">48.10.</w:t>
            </w:r>
            <w:r w:rsidR="00000000" w:rsidRPr="00000000" w:rsidDel="00000000">
              <w:rPr>
                <w:rtl w:val="0"/>
              </w:rPr>
              <w:t xml:space="preserve"> apakšpunktā minēto prasību, tad projekta iesniegumam pievieno dokumentāciju, kas apliecina noteikto prasību izpildi ne vēlāk kā līdz projekta pabeigšanai.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25. punktu attiecībā uz tajā ietverto atsauci uz noteikumu projekta 48.10. apakšpunktu vai skaidrot anotācijā, kā </w:t>
            </w:r>
            <w:r w:rsidR="00000000" w:rsidRPr="00000000" w:rsidDel="00000000">
              <w:rPr>
                <w:u w:val="single"/>
                <w:rtl w:val="0"/>
              </w:rPr>
              <w:t xml:space="preserve">uz projekta iesnieguma iesniegšanas brīdi</w:t>
            </w:r>
            <w:r w:rsidR="00000000" w:rsidRPr="00000000" w:rsidDel="00000000">
              <w:rPr>
                <w:rtl w:val="0"/>
              </w:rPr>
              <w:t xml:space="preserve"> varētu būt nodrošināta noteikumu projekta 48.10. apakšpunktā minētā prasība, ņemot vērā, ka attiecīgais apakšpunkts paredz </w:t>
            </w:r>
            <w:r w:rsidR="00000000" w:rsidRPr="00000000" w:rsidDel="00000000">
              <w:rPr>
                <w:u w:val="single"/>
                <w:rtl w:val="0"/>
              </w:rPr>
              <w:t xml:space="preserve">finansējuma saņēmēja pienākumu nodrošināt, ka projekta ietvaros tiek attīstīta infrastruktūra</w:t>
            </w:r>
            <w:r w:rsidR="00000000" w:rsidRPr="00000000" w:rsidDel="00000000">
              <w:rPr>
                <w:rtl w:val="0"/>
              </w:rPr>
              <w:t xml:space="preserve"> trīs un vairāk ģimenes ārstu prakšu pakalpojumu nodrošināšanai, t.i., finansējuma saņēmēja pienākumu projekta īstenošanas ietvaros, nevis jau pirms tā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32.1.</w:t>
            </w:r>
            <w:r w:rsidR="00000000" w:rsidRPr="00000000" w:rsidDel="00000000">
              <w:rPr>
                <w:rtl w:val="0"/>
              </w:rPr>
              <w:t xml:space="preserve"> apakšpunktā minētās atbalstāmās darbības ietvaros ir attiecināmas finansējuma saņēmēja projekta vadības personāla izmaksas, kas radušās uz darba līguma vai uzņēmuma līguma pamata, tai skaitā normatīvajos aktos noteiktās piemaksas un nodokļi,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vadības personāla izmaksām nevar piemērot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48.8. nodrošina, ka iepirkumus, kuri nepieciešami atbalstāmo darbību īstenošanai, finansējuma saņēmējs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pēc nepieciešamības saskaņot informāciju attiecībā uz iepirkumu veikšanu, ņemot vērā anotācijā minēto, ka finansējuma saņēmējs iepirkumus iespēju robežās veiks kā sociāli atbildīgu iepirkumu.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48.8. nodrošina, ka iepirkumus, kuri nepieciešami atbalstāmo darbību īstenošanai, finansējuma saņēmējs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48. punkta apakšpunktos iekļautie nosacījumi attiecas, gan uz finansējuma saņēmēju, gan uz sadarbības partneri, lūdzam precizēt noteikumu projekta 48.8. apakšpunktu, tā, lai nosacījums par atbilstošas iepirkuma procedūras nodrošināšanu attiecas arī uz sadarbības partneri (ja attiecināms).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Sadarbības iestāde, ja tai ir pieejami valsts budžeta līdzekļi, pēc plānotā avansa apmēra un tā pamatojuma izvērtēšanas, pamatojoties uz finansējuma saņēmēja rakstisku avansa pieprasījumu, var piešķirt finansējuma saņēmējam avansu pēc tam, kad ir noslēgts līgums par projekta īstenošanu. Finansējuma saņēmējs avansa pieprasījumu sagatavo un sadarbības iestāde to apstiprina, ņemot vērā nosacījumu, ka plānotā avansa apmērs atbilst spējai to izlietot sešu mēnešu laikā saimnieciskā gada ietvaros. Finansējuma saņēmējam avansu var piešķirt līdz 30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apmēra.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2023. gada 25. aprīļa noteikumu Nr. 205 "Valsts budžeta līdzekļu plānošanas kārtība Eiropas Savienības fondu projektu īstenošanai un maksājumu veikšanai 2021.–2027. gada plānošanas periodā" 10. punktu maksimālais avansa apjoms nevar pārsniegt 30 % no projektam piešķirtā Eiropas Savienības fonda finansējuma un, ja tas ir paredzēts projektā, </w:t>
            </w:r>
            <w:r w:rsidR="00000000" w:rsidRPr="00000000" w:rsidDel="00000000">
              <w:rPr>
                <w:u w:val="single"/>
                <w:rtl w:val="0"/>
              </w:rPr>
              <w:t xml:space="preserve">valsts budžeta līdzfinansējuma</w:t>
            </w:r>
            <w:r w:rsidR="00000000" w:rsidRPr="00000000" w:rsidDel="00000000">
              <w:rPr>
                <w:rtl w:val="0"/>
              </w:rPr>
              <w:t xml:space="preserve"> kopsummas, ja vien normatīvajā aktā par specifiskā atbalsta mērķa īstenošanu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minēto noteikumu 16. punktu sadarbības iestāde, veicot avansa un starpposma maksājumus, ievēro nosacījumu, ka to kopsumma nedrīkst pārsniegt 90 % no projektam piešķirtā Eiropas Savienības fonda finansējuma un, ja tas paredzēts projektā, </w:t>
            </w:r>
            <w:r w:rsidR="00000000" w:rsidRPr="00000000" w:rsidDel="00000000">
              <w:rPr>
                <w:u w:val="single"/>
                <w:rtl w:val="0"/>
              </w:rPr>
              <w:t xml:space="preserve">valsts budžeta līdzfinansējuma</w:t>
            </w:r>
            <w:r w:rsidR="00000000" w:rsidRPr="00000000" w:rsidDel="00000000">
              <w:rPr>
                <w:rtl w:val="0"/>
              </w:rPr>
              <w:t xml:space="preserve"> kopsummas, izņemot šo noteikumu 17. un 18. punktā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noteikumu projekta 49. punktu, paredzot, ka avansa apmērs un avansa un starpposma maksājumu kopsummas apmērs tiek aprēķināts no Eiropas Reģionālās attīstības fonda </w:t>
            </w:r>
            <w:r w:rsidR="00000000" w:rsidRPr="00000000" w:rsidDel="00000000">
              <w:rPr>
                <w:u w:val="single"/>
                <w:rtl w:val="0"/>
              </w:rPr>
              <w:t xml:space="preserve">un valsts budžeta līdzfinansējuma</w:t>
            </w:r>
            <w:r w:rsidR="00000000" w:rsidRPr="00000000" w:rsidDel="00000000">
              <w:rPr>
                <w:rtl w:val="0"/>
              </w:rPr>
              <w:t xml:space="preserve">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 sadaļā "Pašreizējā situācija, problēmas un risinājumi" vārdus "darbības programmas" ar vārdiem un skaitļiem "Eiropas Savienības kohēzijas politikas programmas 2021.–2027. gadam ". Norādām, ka Eiropas Savienības fondu 2021.–2027. gada plānošanas periodā ir Eiropas Savienības kohēzijas politikas programma 2021.–2027. gadam, un netiek lietots jēdziens “darbības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ar informāciju, par sinerģiju, papildinātību ar Eiropas Savienības un citiem atbalsta instrumentiem, piemēram, Atveseļošanas un noturības mehānisma investīcijām vai Eiropas Savienības struktūrfondu un Kohēzijas fonda 2014.-2020.gada plānošanas perioda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25.punktu, ja uz projekta iesnieguma iesniegšanas brīdi projekta iesniedzējs nav nodrošinājis šo noteikumu 24.punktā un / vai 48.10.apakšpunktā minēto prasību, tad projekta iesniegumam pievieno dokumentāciju, kas apliecina noteikto prasību izpildi ne vēlāk kā līdz projekta pabeigšanai. Savukārt noteikumu 24.punktā noteikts, ka lai nodrošinātu šo noteikumu 13.punktā noteikto prasību, šo noteikumu 22.1.apakšpunktā minētais finansējuma saņēmējs sadarbības partneru statusā obligāti piesaista sadarbības partnerus, kas sniedz valsts apmaksātos primārās un / vai sekundārās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anotācijā sniegt skaidrojumu, kā tiek noteikts komercdarbības atbalsta noteikšanas mehānisms, gadījumā, ja uz projekta iesniegšanas brīdi netiks piesaistīti visi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13. un 24.punktā minēto, ka projekta iesniedzējs sadarbības partneru statusā pasākumā var piesaistīt ārstniecības iestādes, kas nodrošina valsts apmaksātus primārās un sekundārās veselības aprūpes pakalpojumus, lūdzam papildināt  anotāciju, sniedzot skaidrojumu vai abu projektu ievaros var attīstīt infrastruktūru, kur tiek sniegti sekundārās veselības aprūpes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pārkompensācijas kontroli - kā sadarbības iestāde pārbaudīs noteikumu projekta 15. punktā noteikto pienākumu finansējuma saņēmējam un sadarbības partnerim iesniegt pilnvarojuma uzlicēja apliecinājumu, proti, kam jābūt norādītam pilnvarojuma aktā un kā praksē jānodrošina pārkompensācijas kontrole,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“Pārkompensācijas uzraudzību veic pilnvarojuma uzlicējs un, lai pilnvarojuma uzlicējs varētu kvalitatīvi novērst pārkompensācijas riskus un izpildīt pienākumu par pārkompensācijas uzraudzību, pilnvarojuma aktā ir iekļauts nosacījums, ka pilvarojuma uzlicējs veic regulāras pārbaudes vai nodrošina, ka tās tiek veiktas, vismaz ik pēc trīs gadiem sabiedrisko pakalpojumu līguma darbības laikā un tā beigās, pamatojoties uz normatīvajiem aktiem, kas nosaka atlīdzības maksājumu/kompensāciju aprēķināšanas un piešķiršanas kārtību, kritērijus un nosacījumus, kā arī pārkompensācijas kontroles kārtību. Minētais pārkompensācijas uzraudzības mehānisms tiek izvērtēts projekta iesnieguma vērtēšanas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punktu “Cita informācija”, aiz vārda “līdzfinansējums” papildinot ar vārdiem “un Eiropas Reģionālās attīstības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24-TA-2625</w:t>
    </w:r>
    <w:r>
      <w:br/>
    </w:r>
    <w:r w:rsidR="00000000" w:rsidRPr="00000000" w:rsidDel="00000000">
      <w:rPr>
        <w:rtl w:val="0"/>
      </w:rPr>
      <w:t xml:space="preserve">Izdrukāts 01.11.2024.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24-TA-2625</w:t>
    </w:r>
    <w:r>
      <w:br/>
    </w:r>
    <w:r w:rsidR="00000000" w:rsidRPr="00000000" w:rsidDel="00000000">
      <w:rPr>
        <w:rtl w:val="0"/>
      </w:rPr>
      <w:t xml:space="preserve">Izdrukāts 01.11.2024.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Atzinumi_24-TA-2625.docx</dc:title>
</cp:coreProperties>
</file>

<file path=docProps/custom.xml><?xml version="1.0" encoding="utf-8"?>
<Properties xmlns="http://schemas.openxmlformats.org/officeDocument/2006/custom-properties" xmlns:vt="http://schemas.openxmlformats.org/officeDocument/2006/docPropsVTypes"/>
</file>