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Izdevumus, kas saistīti ar transportlīdzekļa piespiedu pārvietošanu uz citu — stāvēšanai atļautu — vietu, sedz ceļa pārvaldītājs.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atbilstoši Ceļu satiksmes likumā noteiktajam deleģējumam nosaka </w:t>
            </w:r>
            <w:r w:rsidR="00000000" w:rsidRPr="00000000" w:rsidDel="00000000">
              <w:rPr>
                <w:b w:val="1"/>
                <w:u w:val="single"/>
                <w:rtl w:val="0"/>
              </w:rPr>
              <w:t xml:space="preserve">kārtību, kādā Ceļu satiksmes likumā noteiktajos gadījumos transportlīdzekli piespiedu kārtā pārvieto uz speciālu stāvvietu vai uz citu — stāvēšanai atļautu — vietu, un kārtību, kādā transportlīdzeklis atzīstams par ilgstoši atstātu uz ceļa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likumā nav iekļauts deleģējums Ministru kabinetam noteikt subjektus, kuriem ir pienākums atlīdzināt izdevumus par transportlīdzekļu piespiedu pārvietošanu uz citu - stāvēšanai atļautu - vietu. Attiecīgi šāda veida regulējums ir likuma līmeņa jautājums.  Ievērojot minēto, lūdzam svītrot noteikumu 6. punktu un noteikt regulējumu par izdevumu segšanas kārtību Ceļu satiksmes likumā. Tā, piemēram, jau šobrīd Ceļu satiksmes likuma 43.</w:t>
            </w:r>
            <w:r w:rsidR="00000000" w:rsidRPr="00000000" w:rsidDel="00000000">
              <w:rPr>
                <w:vertAlign w:val="superscript"/>
                <w:rtl w:val="0"/>
              </w:rPr>
              <w:t xml:space="preserve">3</w:t>
            </w:r>
            <w:r w:rsidR="00000000" w:rsidRPr="00000000" w:rsidDel="00000000">
              <w:rPr>
                <w:rtl w:val="0"/>
              </w:rPr>
              <w:t xml:space="preserve"> panta trešajā prim daļā ir noteikta izdevumu segšanas kārtība gadījumiem, kas ir saistīti ar transportlīdzekļa piespiedu pārvietošanu uz speciālu stāvvietu un glabāšanu speciālajā stāvvietā.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Lai novērstu avāriju vai veiktu glābšanas darbus, kā arī avārijas seku likvidēšanas darbus (ja nav citas iespējas), transportlīdzekli atļauts pārvietot uz jebkuru vietu jebkādā veidā, kas tam rada iespējami mazākus bojājumus, un tā, lai radītie zaudējumi būtu mazāki nekā novērstie.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Noteikumi atbilstoši Ceļu satiksmes likumā noteiktajam deleģējumam </w:t>
            </w:r>
            <w:r w:rsidR="00000000" w:rsidRPr="00000000" w:rsidDel="00000000">
              <w:rPr>
                <w:b w:val="1"/>
                <w:u w:val="single"/>
                <w:rtl w:val="0"/>
              </w:rPr>
              <w:t xml:space="preserve">nosaka kārtību, kādā Ceļu satiksmes likumā noteiktajos gadījumos transportlīdzekli piespiedu kārtā pārvieto uz speciālu stāvvietu vai uz citu — stāvēšanai atļautu — vietu, un kārtību, kādā transportlīdzeklis atzīstams par ilgstoši atstātu uz ceļa</w:t>
            </w:r>
            <w:r w:rsidR="00000000" w:rsidRPr="00000000" w:rsidDel="00000000">
              <w:rPr>
                <w:rtl w:val="0"/>
              </w:rPr>
              <w:t xml:space="preserve">. Ceļu satiksmes likumā nav iekļauts deleģējums Ministru kabinetam noteikt gadījumus, kādos ir pieļaujams transportlīdzekli pārvietot piespiedu kārtā. Lūdzam svītrot noteikumu 19. punktu - šāds regulējums ir iekļaujams Ceļu satiksmes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1. tas atrodas vietā, kur tas traucē pārvietoties citiem ceļu satiksmes dalībniekiem, ilgāk par trim stundām kopš brīža, kad par traucējumu paziņots elektroskrejriteņa, velosipēda, tai skaitā velorikšas īpašniekam vai turētājam;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citās noteikumu projekta vienībās attiecībā uz paziņošanu ir atsauce uz Paziņošanas likumā noteikto kārtību (noteikumu 10., 16., 22. punkts), aicinām attiecībā uz paziņošanu visā noteikumu projekta tekstā izmantot vienveidīgas vārdiskās izteiksmes.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23.04.2024. 15.23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23.04.2024. 15.23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