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veikt nepieciešamos precizējumus, nodrošinot pilnīgu projekta atbilstības Eiropas Savienības tiesību aktiem atspoguļojumu. Vēršam uzmanību, ka, piemēram, papildinot pielikuma 3. tabulu, arī tajā tiek ieviests no Eiropas Parlamenta un Padomes 2023. gada 12. jūlija Regulas (ES) 2023/1542 par baterijām un bateriju atkritumiem, ar ko groza Direktīvu 2008/98/EK un Regulu (ES) 2019/1020 un atceļ Direktīvu 2006/66/EK (turpmāk - Regula 2023/1542) XII pielikuma B daļas (1. punkta b) apakšpunkts) izrietošais.  Savukārt anotācijas 5.4. apakšsadaļā norādīts, ka Regulas 2023/1542 XII pielikuma B daļa ieviesta tikai Ministru kabineta 2021. gada 28. janvāra noteikumu Nr. 64 "Kārtība, kādā atbrīvo no dabas resursu nodokļa samaksas par videi kaitīgām precēm" (turpmāk - Noteikumi) 1. pielikuma 3.2.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Videi kaitīgu preču atkritumu apjomus, kuri ir pieņemti vai savākti, atkārtoti izmantoti, pārstrādāti vai reģenerēti nākamā pusgada vai kalendāra gada pirmo triju mēnešu laikā, apsaimniekotājs var pieskaitīt iepriekšējā pusgadā vai kalendāra gadā savāktajiem, atkārtoti izmantotajiem, pārstrādātajiem vai reģenerētajiem videi kaitīgu preču atkritumu apjomiem.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anotācijas 1.3. apakšsadaļā izvērst projekta skaidrojumus, jo esošie skaidrojumi ir vispārīgi un tiesību normu adresātam nenodrošina pietiekami precīzu un pilnīgu plānoto grozījumu būtības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kāpēc jaunā periodā savākti atkritumi tiks attiecināti uz veco periodu vai kā tieši Regulas 2023/5142 61. panta 3. punkta "b" apakšpunkts, kur noteikts: "</w:t>
            </w:r>
            <w:r w:rsidR="00000000" w:rsidRPr="00000000" w:rsidDel="00000000">
              <w:rPr>
                <w:i w:val="1"/>
                <w:rtl w:val="0"/>
              </w:rPr>
              <w:t xml:space="preserve">SLI bateriju atkritumus, rūpniecisko bateriju atkritumus un elektrotransportlīdzekļu bateriju atkritumus no 1. punktā minētajām atpakaļpieņemšanas un savākšanas sistēmām savāc tik bieži, cik tas ir samērīgi ar dalītās savākšanas infrastruktūras glabāšanas jaudām un to bateriju atkritumu apjomu un bīstamību, kurus parasti savāc minētajās atpakaļpieņemšanas un savākšanas sistēmās</w:t>
            </w:r>
            <w:r w:rsidR="00000000" w:rsidRPr="00000000" w:rsidDel="00000000">
              <w:rPr>
                <w:rtl w:val="0"/>
              </w:rPr>
              <w:t xml:space="preserve">", ieviests projekta pielikuma 3.1. apakšpunktā, kur noteikti konkrēti bateriju atkritumu savākšanas apjomi. Savukārt, skaidrojot ražotāja paplašinātās atbildības sistēmas komersantu veikto aprēķinu uzraudzību, iesakām konkretizēt arī nacionālos tiesību aktus ar kuriem Latvija izpilda no Regulas 2023/1542 69.panta izrietošos dalībvalsts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atbilstoši Regulas 2023/1542 XII pielikuma B daļas (ieviests projekta pielikuma 3.2.punktā) izriet konkrētu reciklēšanas rādītāju sasniegšana ne vēlāk kā 2025. gada 31. decembrī, bet projektā noteikts, ka attiecīgie rādītāji sasniedzami no 2026. gada 1. janvāra, kas ir vēlāk kā noteikts regulā. Attiecīgi iesakām pārskatīt Regulas 2023/1542 ieviešanu un no tās izrietošos termiņus, veicot nepieciešamos precizējumus projektā vai anotācijā sniegtajos skaidrojumos.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pārskatīt plānotos grozījumus Noteikumu 1. pielikumā un nodrošināt tā redakcijas korektu, viennozīmīgu izpratni tā adresātiem vai izvērst skaidrojumus anotācijā. Vēršam uzmanību, ka no pielikuma papildinājumiem izriet, piemēram, tāds noteikums kā "</w:t>
            </w:r>
            <w:r w:rsidR="00000000" w:rsidRPr="00000000" w:rsidDel="00000000">
              <w:rPr>
                <w:i w:val="1"/>
                <w:rtl w:val="0"/>
              </w:rPr>
              <w:t xml:space="preserve">Apjomu nosaka pret pārstrādes rūpnīcā (iekārtā) ievietoto apjomu</w:t>
            </w:r>
            <w:r w:rsidR="00000000" w:rsidRPr="00000000" w:rsidDel="00000000">
              <w:rPr>
                <w:rtl w:val="0"/>
              </w:rPr>
              <w:t xml:space="preserve">", bet nav nodrošināta precīza izpratne par to, kāds konkrēts apjoms ar to saprotams, piemēram, paralēli lietos tāds formulējums kā "savākšanas apjoms".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19.08.2025.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19.08.2025.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Atzinumi_25-TA-1093.docx</dc:title>
</cp:coreProperties>
</file>

<file path=docProps/custom.xml><?xml version="1.0" encoding="utf-8"?>
<Properties xmlns="http://schemas.openxmlformats.org/officeDocument/2006/custom-properties" xmlns:vt="http://schemas.openxmlformats.org/officeDocument/2006/docPropsVTypes"/>
</file>