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889 "Noteikumi par atmežošanas kompensācijas noteikšanas kritērijiem, aprēķināšanas un atlīdzināšanas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r w:rsidR="00000000" w:rsidRPr="00000000" w:rsidDel="00000000">
              <w:rPr>
                <w:vertAlign w:val="superscript"/>
                <w:rtl w:val="0"/>
              </w:rPr>
              <w:t xml:space="preserve">1</w:t>
            </w:r>
            <w:r w:rsidR="00000000" w:rsidRPr="00000000" w:rsidDel="00000000">
              <w:rPr>
                <w:rtl w:val="0"/>
              </w:rPr>
              <w:t xml:space="preserve"> kompetentās institūcijas izdotu administratīvo aktu, ja platību plāno atmežot derīgo izrakteņu ieguvei vai pašvaldības atzinumu, ja platību atmežo lauksaimniecības zemes ierīkošanai un atmežošanas vai zemes lietojuma maiņas ierobežojums nav tieši norādīti teritorijas attīstības plānošanas dokumentos;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“Grozījumi Ministru kabineta 2012. gada 18. decembra noteikumos Nr.889 “Noteikumi par atmežošanas kompensācijas noteikšanas kritērijiem, aprēķināšanas un atlīdzināšanas kārtību””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punktā paredzēto Ministru kabineta 2012. gada 18. decembra noteikumu Nr.889 “Noteikumi par atmežošanas kompensācijas noteikšanas kritērijiem, aprēķināšanas un atlīdzināšanas kārtību” (turpmāk – noteikumi) 12.1.</w:t>
            </w:r>
            <w:r w:rsidR="00000000" w:rsidRPr="00000000" w:rsidDel="00000000">
              <w:rPr>
                <w:vertAlign w:val="superscript"/>
                <w:rtl w:val="0"/>
              </w:rPr>
              <w:t xml:space="preserve">1</w:t>
            </w:r>
            <w:r w:rsidR="00000000" w:rsidRPr="00000000" w:rsidDel="00000000">
              <w:rPr>
                <w:rtl w:val="0"/>
              </w:rPr>
              <w:t xml:space="preserve"> apakšpunktu nepieciešams izvērtēt un precizēt to vai svītrot. Vēršam uzmanību, ka normā piedāvātais regulējums ir pretrunā ar Meža likuma 41. panta pirmajā daļā noteikto – “ja personai ir izdots kompetentas institūcijas administratīvais akts, kas tai piešķir tiesības veikt minētās darbības”. Tādējādi ar Ministru kabineta noteikumiem nevar atšķirīgi izteikt likuma normu, kas neparedz alternatīvus nosacījumus kompetentas institūcijas izdotam administratīvajam aktam. Tieslietu ministrija var pieļaut, ka atsevišķos gadījumos pašvaldība var būt kompetentā institūcija, kas izdod administratīvo aktu, bet attiecīgi šādu pašvaldības lēmumu piedāvājam nesaukt par atzinumu, jo administratīvajā procesā atzinums ir interpretējams kā starplēmums, nevis administratīvais akts. Vienlaicīgi, noteikumos būtu jāparedz izvērstāks regulējums par šāda veida atsevišķi izdalītiem pašvaldības lēmumiem un izvērsts skaidrojums par tiem paredzēto atsevišķo regulējumu jāsniedz projekta anotācijā. Nobeigumā vēlamies norādīt, ka projektā grozījumi jāveic secīgi, proti, vispirms jāraksta grozījums noteikumu 12.1. apakšpunktā (šobrīd projekta 10. punkts) un pēc tā jaunais 12.1.</w:t>
            </w:r>
            <w:r w:rsidR="00000000" w:rsidRPr="00000000" w:rsidDel="00000000">
              <w:rPr>
                <w:vertAlign w:val="superscript"/>
                <w:rtl w:val="0"/>
              </w:rPr>
              <w:t xml:space="preserve">1</w:t>
            </w:r>
            <w:r w:rsidR="00000000" w:rsidRPr="00000000" w:rsidDel="00000000">
              <w:rPr>
                <w:rtl w:val="0"/>
              </w:rPr>
              <w:t xml:space="preserve"> apakšpunkts (šobrīd projekta 9. punkts), jo normatīvo aktu izstrādes nosacījumi paredz, ka prim punkti seko pēc pamata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atmežošana veikta, bet persona nav kompensējusi valstij ar atmežošanas izraisīto negatīvo seku novēršanu saistītos izdevumus (ja vien atmežošana nav veikta saskaņā ar Meža likuma 41.panta otro daļu vai šo noteikumu pielikuma 3.1.apakšpunktā minēto atmežošanas mērķi), Valsts meža dienests šajos noteikumos noteiktajā kārtībā, izmantojot attiecīgo 3., 5. vai 7.punktā noteikto kompensācijas apmēra aprēķina formulu, nosaka kompensācijas apmēru un piedzen par labu valstij, nepieciešamības gadījumā vēršoties ar civilprasību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punktā paredzēto noteikumu 19. punktu nepieciešams izvērtēt un tajā piedāvājam svītrot vārdus “nepieciešamības gadījumā vēršoties ar civilprasību tiesā”. Vēršam uzmanību, ka Meža likuma 41. panta trešajā daļā esošais pilnvarojums Ministru kabineta noteikumos paredz veidot tiesisko regulējumu arī par kompensācijas atlīdzināšanas kārtību, bet Meža likuma 42. pants paredz, ka kompensācija pilnā apmērā tiek ieskaitīta valsts pamatbudžetā (Meža attīstības fondā). Ievērojot minēto, nesamaksātās kompensācijas piespiedu piedziņas regulējumu piedāvājam veidot administratīvā procesa ietvaros, kad lēmumu un citas darbības par savlaicīgi nesamaksātās kompensācijas piespiedu piedziņu pieņem Valsts meža dienests Administratīvā procesa likumā noteiktajā kārtībā. Tādējādi regulējums jāveido līdzīgi, kā ir piedzenami jebkādi citi obligātie maksājumi valsts budžetā, neizmantojot civilprocesu. Vienlaikus piedāvājam izvērtēt noteikumu 19. punktā vārdus “vai šo noteikumu pielikuma 3.1. apakšpunktā minēto atmežošanas mērķi” un precizēt tos, jo noteikumos un projektā pielikuma 3.1. apakšpunktā netiek norādīts atmežošanas mērķis, bet gan investīciju projektu finansēšanas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23-TA-956</w:t>
    </w:r>
    <w:r>
      <w:br/>
    </w:r>
    <w:r w:rsidR="00000000" w:rsidRPr="00000000" w:rsidDel="00000000">
      <w:rPr>
        <w:rtl w:val="0"/>
      </w:rPr>
      <w:t xml:space="preserve">Izdrukāts 15.10.2024.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23-TA-956</w:t>
    </w:r>
    <w:r>
      <w:br/>
    </w:r>
    <w:r w:rsidR="00000000" w:rsidRPr="00000000" w:rsidDel="00000000">
      <w:rPr>
        <w:rtl w:val="0"/>
      </w:rPr>
      <w:t xml:space="preserve">Izdrukāts 15.10.2024.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Atzinumi_23-TA-956.docx</dc:title>
</cp:coreProperties>
</file>

<file path=docProps/custom.xml><?xml version="1.0" encoding="utf-8"?>
<Properties xmlns="http://schemas.openxmlformats.org/officeDocument/2006/custom-properties" xmlns:vt="http://schemas.openxmlformats.org/officeDocument/2006/docPropsVTypes"/>
</file>