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29. un 30. punkts paredz informācijas sniegšanas pienākumu, līdz ar ko, lūdzu veikt administratīvo izmaksu monetāru novērtējumu un aizpildīt anotācijas 2. sadaļas 2.3. apakšpunktu, ja informācijas sniegšnas prasība attiecās uz juriidisku vai fizisku personu un anotācijas 7. sadaļas 7.2. apakšpunktu, ja informācijas sniegšanas prasība attiecās uz valsts vai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izmaksu novērtējums veicams saskaņā ar Ministru kabineta 2021. gada 7. septembra noteikumu Nr. 617 “Tiesību akta projekta sākotnējās ietekmes izvērtēšanas kārtība” 15. un 16.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anotācijas 6.sadaļā norādīto informāciju, pirmkārt, Valsts kanceleja vērš uzmanību, ka Ministru kabineta 2009.gada 25.augusta noteikumi Nr.970 "Sabiedrības līdzdalības kārtība attīstības plānošanas procesā" 2024.gada 17.oktobrī zaudēja spēku, ņemot vērā, ka ar šo brīdi spēkā stājās jaunais regulējums sabiedrības iesaistei - Ministru kabineta 2024.gada 15.oktobra noteikumi Nr. 639 "Sabiedrības līdzdalības kārtība attīstības plānošanas procesā". Lūgums noteikumu projekta anotācijā atsaukties uz spēkā esošo regulējumu. Otrkārt, atbilstoši esošajai praksei, kas nostiprināta jaunajā regulējumā, ja sabiedrības pārstāvji netiek iesaistīti tiesību akta projekta izstrādē, tad par iemesliem, kādēļ sabiedrības pārstāvji netika iesaistīti, jāsniedz skaidrojums tiesību akta projekta anotācijā - TAP portālā iestrādātajā anotācijas formā 6.sadaļā uz apgalvojumu "Sabiedrības līdzdalība uz šo tiesību akta projektu neattiecas" izvēloties "Jā" būs pieejams lauks "Skaidrojums", kurā attiecīgi lūdzam norādīt šobrīd 6.4. apakšpunktā minēto informāciju. Vēršam uzmanību, ka atbilsoši Valsts kancelejas ieteikumam precizējot 6.sadaļu, informācijas sniegšanai nebūs pieejami 6.1.-6.3.apakšpunkti, piemēram, 6.1. apakšpunktā norādīto nevalstisko organizāciju uzskaitījumu saglabāt anotācijā, ja organizācijas netika iesaistītas vai neatsaucās uz aicinājumu sniegt viedokli, nebūtu korekti. Vienlaikus, ņemot vērā, ka 6.4.apakšpunktā minēts, ka "Priekšlikumu un viedokļu sniegšanai tiesību akta projekts </w:t>
            </w:r>
            <w:r w:rsidR="00000000" w:rsidRPr="00000000" w:rsidDel="00000000">
              <w:rPr>
                <w:u w:val="single"/>
                <w:rtl w:val="0"/>
              </w:rPr>
              <w:t xml:space="preserve">tiks</w:t>
            </w:r>
            <w:r w:rsidR="00000000" w:rsidRPr="00000000" w:rsidDel="00000000">
              <w:rPr>
                <w:b w:val="1"/>
                <w:rtl w:val="0"/>
              </w:rPr>
              <w:t xml:space="preserve"> </w:t>
            </w:r>
            <w:r w:rsidR="00000000" w:rsidRPr="00000000" w:rsidDel="00000000">
              <w:rPr>
                <w:rtl w:val="0"/>
              </w:rPr>
              <w:t xml:space="preserve">nodots nevalstiskajām organizācijām, t.sk. Latvijas Pašvaldību savienībai, Latvijas Lielo pilsētu asociācijai, Latvijas slimnīcu biedrībai un Veselības aprūpes darba devēju asociācijai", lūdzam gadījumā, ja pēc noteikumu projekta saskaņošanas uzsākšanas tika veikta minētā darbība un arī saņemta atgriezeniskā saite, aizpildīt anotācijas 6.sadaļu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01.11.2024.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01.11.2024.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