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attiecīgā gada 1. septembrī. Izglītības iestādē, kurā vienlaikus tiek īstenotas vairākas vispārējās izglītības programmas, nosakot atbilstību kvantitatīvajiem rādītājiem, izglītojamo skaitu klātienē un neklātienē skaita kopā, bet tālmācībā atsevišķi.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tāpat kā LIZDA, uztur iebildumu un lūdz salāgot datumus ar noteikumiem par sadales kārtību, nosakot, ka izglītības iestādes atbilstību kvantitatīvajiem rādītājiem IZM nosaka uz 30.jūniju, un precizē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3.1.apakšpunktā minētajām izglītības iestādēm (1.-7.grupa) noteikts, ka katrā klašu grupā jābūt vismaz 45 izglītojamiem, lai nodrošinātu finansējumu 100 % apmērā, bet 3.pielikumā kvantitatīvie rādītāji 4.-7.grupai 1.-3.klašu un 4.-6.klašu grupās ir noteikts 30 izglītojamie, 6.-7.grupā arī 7-9.klašu grupā - 30 izglītojamiem. Uzskatām, ka noteikumu 14.punkts attiecībā uz 4.-7.grupu ir pretrunā ar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23. Šo noteikumu 12.punktu attiecībā uz pašvaldību un valsts augstskolu izglītības iestādēm piemēro ar 2027. gada 1. septembri, bet  privātām izglītības iestādēm – ar 2029. gada 1. septembri. Līdz šajā punktā minētajiem datumiem piemēro šādu kārtību: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normatīvā regulējuma ieviešanā nodrošināt vienlīdzīgu attieksmi visām izglītības iestādēm (attiecināms arī uz 23.punkta apakšpunktiem), neizdalot pakāpenisku regulējuma ieviešanu tikai privātajām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tāpat kā LIZDA, uztur iebildumu un lūdz 3.grupā 10.-12.kl. posmā noteikt izglītojamo skaitu 90. Uzskatām, ka 3.grupā iekļauto pašvaldību izglītības iestādēm nav samērīgi noteikt tādu pašu kvantitatīvo rādītāju kā Rīgas, Pierīgas un valstspilsētu pašvaldību izglītības iestādēm, kas ir 1.un 2.grupā.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02.04.2026.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02.04.2026.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