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Ukrainas civiliedzīvotāju iekļaušanās Latvijas sabiedrībā politikas un koordinācijas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vai izziņā identificēt Tieslietu ministrijas kompetenču loku šī risinājuma izpildē vai šobrīd nenoteikt plāna līdzatbildīgos. Līdzatbildīgos varēs noteikt, tad kad būs definēti konkrēti plāna pasākumi. Mūsuprāt, teksts sākot ar vārdu "tostarp"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25.03.2026.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25.03.2026.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Atzinumi_26-TA-665.docx</dc:title>
</cp:coreProperties>
</file>

<file path=docProps/custom.xml><?xml version="1.0" encoding="utf-8"?>
<Properties xmlns="http://schemas.openxmlformats.org/officeDocument/2006/custom-properties" xmlns:vt="http://schemas.openxmlformats.org/officeDocument/2006/docPropsVTypes"/>
</file>