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Mājas (istabas) dzīvnieka atsavināšanas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"lolojumdzivnieki.lv"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norāde par to, ka mājas (istabas) dzīvnieks ir bezšķirnes, ja tam nav šķirnes mājas (istabas) dzīvnieku audzētāju organizācijas izsniegtu ciltsrakstu un nav pamata tos saņemt;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LDC datu bāzē, meklējot pēc norādītā mikročipa numura, potenciālajam pircējam jau būs publiski sistēmā redzama informācija - šķirnes vai bezšķirnes.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likumdevējs pieļauj gadījumus, kad informācija, ko manuāli sludinājumā norāda pārdevējs, un informācija LDC sistēmā var atšķirties? Piemēram, kļūdas dēļ vai apzināti. Kuru no šīm informācijām potenciālajam pircējam būtu jāuzskata par prioritāri pareizu?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tas atbilst valsts pārvaldes labas prakses standartam - uzlikt prasību sludinājumā manuāli norādīt informāciju, kura jau ir publicēta valsts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prioritāri sakārtot LDC datu bāzi, kurā ievadot informāciju - tiek ievadīti visi nepieciešamie dati, kurus varēs skatīt un pārbaudīt turpmākos dzīvnieka dzīves notikumos, ieskaitot, nākotnē paredzamo atsavināšanu. Tad sludinājumā nebūs jāuzliek atsevišķas prasības norādīt manuāli to, ko jau nodrošina valsts uzturētā datu bāze.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Rigonda Bērziņa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suņa, kaķa un mājas (istabas) seska mikroshēmas numurs, bet sunim, kaķim vai mājas (istabas) seskam, kas ir jaunāks par šo noteikumu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w:t>
            </w:r>
            <w:r w:rsidR="00000000" w:rsidRPr="00000000" w:rsidDel="00000000">
              <w:rPr>
                <w:rtl w:val="0"/>
              </w:rPr>
              <w:t xml:space="preserve">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minēto vecumu, mātes mikroshēmas numurs, kā arī tīmekļvietnes adrese, kurā iespējams pārliecināties par reģistrāciju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oficiālajā vēstnesī publicētajā Eiropas Parlamenta regulas "Par suņu un kaķu labturību un izsekojamību" projektā nav paredzēta iespēja sludinājumā norādīt cita dzīvnieka mikročipa numuru. Katrs atsevišķais sludinājums jāveido par katru atsevišķo piedāvājamo dzīvnieku, norādot viņa konkrēto mikročipa numuru. Regula paredz arī kopējā Eiropas Savienības līmenī saslēgt kopā dalībvalstu datu bāzes un nodrošināt izsekojamību. Norādot cita dzīvnieka mikročipa numuru, var tikt apdraudēta sistēmu datu konsistence, kā arī tas maldina potenciālo pircēju, jo nenodrošina iespēju pārbaudīt konkrētā, sludinājumā piedāvātā dzīvnieka datus. Regulas anotācijā ir būtiski uzsvērta patērētāju tiesību aizsardzība un katra tirgū piedāvātā dzīvnieka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kad regula stāsies spēkā, būs jāmaina šie MK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Audzētāji, kas vēlas veidot agrīnās rezervācijas dzīvnieku metieniem, var izmantot citu sludinājumu sadaļu, piemēram, "Piedāvā pakalpojumu", "Dažādi", nevis ievietot dzīvnieku pārdošanas sadaļā dzīvniekus, kurus faktiski tajā brīdī nemaz nevar atsavināt vai kuri vispār vēl neeksistē.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Rigonda Bērziņa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25.04.2024.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25.04.2024.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Atzinumi_23-TA-1261.docx</dc:title>
</cp:coreProperties>
</file>

<file path=docProps/custom.xml><?xml version="1.0" encoding="utf-8"?>
<Properties xmlns="http://schemas.openxmlformats.org/officeDocument/2006/custom-properties" xmlns:vt="http://schemas.openxmlformats.org/officeDocument/2006/docPropsVTypes"/>
</file>