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Pašvaldības ceļu nodeva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uzrakstīts, ka: "Papildus minētajam Likumprojekts regulē arī pašvaldības ceļu nodevu, </w:t>
            </w:r>
            <w:r w:rsidR="00000000" w:rsidRPr="00000000" w:rsidDel="00000000">
              <w:rPr>
                <w:u w:val="single"/>
                <w:rtl w:val="0"/>
              </w:rPr>
              <w:t xml:space="preserve">kas plānota kā valsts nodeva, tikai tās iekasēs pašvaldības [..] </w:t>
            </w:r>
            <w:r w:rsidR="00000000" w:rsidRPr="00000000" w:rsidDel="00000000">
              <w:rPr>
                <w:rtl w:val="0"/>
              </w:rPr>
              <w:t xml:space="preserve">Ņemot vērā Likumprojekta mērķi par videi draudzīgāku transportlīdzekļu izmantošanas veicināšanu, atbilstošs normatīvais akts šādas nodevas paredzēšanai ir šis Likumprojekts. Līdz ar to </w:t>
            </w:r>
            <w:r w:rsidR="00000000" w:rsidRPr="00000000" w:rsidDel="00000000">
              <w:rPr>
                <w:u w:val="single"/>
                <w:rtl w:val="0"/>
              </w:rPr>
              <w:t xml:space="preserve">tas paredz pienākumu pašvaldībai noteikt nodevu par pašvaldības ceļu lietošanu</w:t>
            </w:r>
            <w:r w:rsidR="00000000" w:rsidRPr="00000000" w:rsidDel="00000000">
              <w:rPr>
                <w:rtl w:val="0"/>
              </w:rPr>
              <w:t xml:space="preserve"> ar M, N un O kategorijas transportlīdzekļiem, ja pašvaldības teritorijā gaisa piesārņojuma līmenis pārsniedz gaisa kvalitātes normatīvus un galvenais pārsnieguma iemesls ir saistīts ar gaisa piesārņojuma no transportlīdzekļiem, kas brauc pa ceļiem, kā arī diennakts stundas, piemēram satiksmes sastrēgumu laikā, kurās tiek lietoti pašvaldības ceļi.".  Atkārtoti uzsveram, ka saskaņā ar likuma “Par nodokļiem un nodevām” 10. panta pirmās daļas pirmo teikumu valsts nodevu objektus nosaka saskaņā ar likumiem, savukārt pašvaldību nodevu objektus — saskaņā ar šo likumu (likuma “Par nodokļiem un nodevām”). Saskaņā ar likuma “Par nodokļiem un nodevām” 1. panta 3. punktu pašvaldības nodeva ir pašvaldības domes noteikts obligāts maksājums pašvaldības pamatbudžetā vai speciālajā budžetā šajā likumā paredzētajos gadījumos. Pašvaldības nodevas apmērs nav tiešā veidā saistīts ar pašvaldības institūcijas vai tās struktūrvienības veiktās darbības izmaksu segšanu. Turklāt likuma “Par nodokļiem un nodevām” 12. panta pirmās daļas ievaddaļa noteic, ka  vietējās pašvaldības </w:t>
            </w:r>
            <w:r w:rsidR="00000000" w:rsidRPr="00000000" w:rsidDel="00000000">
              <w:rPr>
                <w:u w:val="single"/>
                <w:rtl w:val="0"/>
              </w:rPr>
              <w:t xml:space="preserve">domei ir tiesības</w:t>
            </w:r>
            <w:r w:rsidR="00000000" w:rsidRPr="00000000" w:rsidDel="00000000">
              <w:rPr>
                <w:rtl w:val="0"/>
              </w:rPr>
              <w:t xml:space="preserve"> Ministru kabineta noteikumos noteiktajā kārtībā savā administratīvajā teritorijā uzlikt pašvaldības nodevas. No likumprojekta neizriet pašvaldības izvēles iespējas piemērot vai nepiemērot pašvaldības ceļu nodevu.  Pašvaldību nodevu uzlikšanas kārtību nosaka Ministru kabineta 2005. gada 28. jūnija noteikumi Nr. 480 "Noteikumi par kārtību, kādā pašvaldības var uzlikt pašvaldību nodevas".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ministrija uztur iepriekš atzinumā izteikto iebildumu un iebilst pret pašvaldības ceļu nodevas jautājuma regulēšanu šajā likumprojektā, jo tas neatbilst esošajam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Grabe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05.07.2024. 09.04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05.07.2024. 09.04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