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aprīļa noteikumos Nr. 199 "Noteikumi par dabasgāzes apriti un akcīzes nodokļa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uztur iepriekš izteikto iebildumu par to, ka Lauku atbalsta dienestam nepieciešams papildus finansējums 35 000 EUR informācijas sistēmas pielāgošanai un uzturēšanai nosacījumu grozījumu rezultātā.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nepiekrīt Finanšu ministrijas argumentam par to, ka izteiktais iebildums nav atbalstāms, ņemot vērā, ka 2025.gada valsts budžetā esošais finansējums ir sadalīts un papildu finansējuma piešķiršana nav iespējama,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Finanšu ministrija, veicot izmaiņas likumā "Par akcīzes nodokli", neparedzēja administrējošajām iestādēm finanšu resursus, kas saistīti ar informācijas sistēmu pielāgošanu, kas nepieciešami izdarīto grozījumu rezultātā, tad šādā gadījumā aicinām Lauku atbalsta dienestam nepieciešamos finanšu līdzekļus nodrošināt no valsts budžeta programmas "Līdzekļi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Karlapa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13.02.2025.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13.02.2025.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Atzinumi_24-TA-3226.docx</dc:title>
</cp:coreProperties>
</file>

<file path=docProps/custom.xml><?xml version="1.0" encoding="utf-8"?>
<Properties xmlns="http://schemas.openxmlformats.org/officeDocument/2006/custom-properties" xmlns:vt="http://schemas.openxmlformats.org/officeDocument/2006/docPropsVTypes"/>
</file>