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6EC" w:rsidRDefault="00A326EC" w:rsidP="00FC7D44">
      <w:r>
        <w:t>2021.  gada .10</w:t>
      </w:r>
      <w:bookmarkStart w:id="0" w:name="_GoBack"/>
      <w:bookmarkEnd w:id="0"/>
      <w:r w:rsidRPr="00AF6B16">
        <w:t>.05</w:t>
      </w:r>
    </w:p>
    <w:p w:rsidR="00FC7D44" w:rsidRDefault="00FC7D44" w:rsidP="00FC7D44">
      <w:r>
        <w:t xml:space="preserve">Beāte </w:t>
      </w:r>
      <w:proofErr w:type="spellStart"/>
      <w:r>
        <w:t>Gusārova</w:t>
      </w:r>
      <w:proofErr w:type="spellEnd"/>
      <w:r>
        <w:t xml:space="preserve"> </w:t>
      </w:r>
      <w:hyperlink r:id="rId6" w:history="1">
        <w:r>
          <w:rPr>
            <w:rStyle w:val="Hyperlink"/>
          </w:rPr>
          <w:t>Beate.Gusarova@tm.gov.lv</w:t>
        </w:r>
      </w:hyperlink>
    </w:p>
    <w:p w:rsidR="00FC7D44" w:rsidRDefault="00FC7D44" w:rsidP="00FC7D44">
      <w:r>
        <w:t xml:space="preserve">Aivis Hammers </w:t>
      </w:r>
      <w:hyperlink r:id="rId7" w:history="1">
        <w:r>
          <w:rPr>
            <w:rStyle w:val="Hyperlink"/>
          </w:rPr>
          <w:t>aivis.hammers@fm.gov.lv</w:t>
        </w:r>
      </w:hyperlink>
      <w:r>
        <w:t xml:space="preserve"> TM KANCELEJA </w:t>
      </w:r>
      <w:hyperlink r:id="rId8" w:history="1">
        <w:r>
          <w:rPr>
            <w:rStyle w:val="Hyperlink"/>
          </w:rPr>
          <w:t>pasts@tm.gov.lv</w:t>
        </w:r>
      </w:hyperlink>
      <w:r>
        <w:t xml:space="preserve"> Pasts </w:t>
      </w:r>
      <w:hyperlink r:id="rId9" w:history="1">
        <w:r>
          <w:rPr>
            <w:rStyle w:val="Hyperlink"/>
          </w:rPr>
          <w:t>Pasts@fm.gov.lv</w:t>
        </w:r>
      </w:hyperlink>
      <w:r>
        <w:t xml:space="preserve"> Baiba </w:t>
      </w:r>
      <w:proofErr w:type="spellStart"/>
      <w:r>
        <w:t>Lielkalne</w:t>
      </w:r>
      <w:proofErr w:type="spellEnd"/>
      <w:r>
        <w:t xml:space="preserve"> </w:t>
      </w:r>
      <w:hyperlink r:id="rId10" w:history="1">
        <w:r>
          <w:rPr>
            <w:rStyle w:val="Hyperlink"/>
          </w:rPr>
          <w:t>Baiba.Lielkalne@TM.GOV.LV</w:t>
        </w:r>
      </w:hyperlink>
      <w:r>
        <w:t xml:space="preserve"> </w:t>
      </w:r>
      <w:r w:rsidRPr="00FC7D44">
        <w:t xml:space="preserve">Egita Šķibele </w:t>
      </w:r>
      <w:hyperlink r:id="rId11" w:history="1">
        <w:r w:rsidRPr="001A22B4">
          <w:rPr>
            <w:rStyle w:val="Hyperlink"/>
          </w:rPr>
          <w:t>egita.skibele@fm.gov.lv</w:t>
        </w:r>
      </w:hyperlink>
      <w:r>
        <w:t xml:space="preserve"> </w:t>
      </w:r>
    </w:p>
    <w:p w:rsidR="00FC7D44" w:rsidRDefault="00FC7D44" w:rsidP="00FC7D44">
      <w:proofErr w:type="spellStart"/>
      <w:r>
        <w:t>Atb</w:t>
      </w:r>
      <w:proofErr w:type="spellEnd"/>
      <w:r>
        <w:t>.: "Ieguldījumu brokeru sabiedrību likums" likumprojektu pakete</w:t>
      </w:r>
    </w:p>
    <w:p w:rsidR="00AF38EB" w:rsidRDefault="00AF38EB"/>
    <w:p w:rsidR="00FC7D44" w:rsidRDefault="00FC7D44" w:rsidP="00FC7D44">
      <w:pPr>
        <w:rPr>
          <w:rFonts w:ascii="Arial" w:hAnsi="Arial" w:cs="Arial"/>
          <w:sz w:val="20"/>
          <w:szCs w:val="20"/>
        </w:rPr>
      </w:pPr>
      <w:r>
        <w:rPr>
          <w:rFonts w:ascii="Arial" w:hAnsi="Arial" w:cs="Arial"/>
          <w:sz w:val="20"/>
          <w:szCs w:val="20"/>
        </w:rPr>
        <w:t xml:space="preserve">Labdien, </w:t>
      </w:r>
    </w:p>
    <w:p w:rsidR="00FC7D44" w:rsidRDefault="00FC7D44" w:rsidP="00FC7D44">
      <w:pPr>
        <w:rPr>
          <w:rFonts w:ascii="Arial" w:hAnsi="Arial" w:cs="Arial"/>
          <w:sz w:val="20"/>
          <w:szCs w:val="20"/>
        </w:rPr>
      </w:pPr>
    </w:p>
    <w:p w:rsidR="00FC7D44" w:rsidRDefault="00FC7D44" w:rsidP="00FC7D44">
      <w:pPr>
        <w:ind w:firstLine="567"/>
        <w:jc w:val="both"/>
        <w:rPr>
          <w:rFonts w:ascii="Arial" w:hAnsi="Arial" w:cs="Arial"/>
          <w:sz w:val="20"/>
          <w:szCs w:val="20"/>
        </w:rPr>
      </w:pPr>
      <w:r>
        <w:rPr>
          <w:rFonts w:ascii="Arial" w:hAnsi="Arial" w:cs="Arial"/>
          <w:sz w:val="20"/>
          <w:szCs w:val="20"/>
        </w:rPr>
        <w:t>Tieslietu ministrija ir izskatījusi Finanšu ministrijas 2021. gada 27. aprīlī precizēto likumprojektu "Grozījumi Finanšu konglomerātu likumā" (turpmāk - likumprojekts), tā anotāciju un izziņu par atzinumos sniegtajiem iebildumiem un </w:t>
      </w:r>
      <w:r>
        <w:rPr>
          <w:rFonts w:ascii="Arial" w:hAnsi="Arial" w:cs="Arial"/>
          <w:b/>
          <w:bCs/>
          <w:sz w:val="20"/>
          <w:szCs w:val="20"/>
        </w:rPr>
        <w:t>atbalsta to tālāku virzību, izsakot šādu iebildumu</w:t>
      </w:r>
      <w:r>
        <w:rPr>
          <w:rFonts w:ascii="Arial" w:hAnsi="Arial" w:cs="Arial"/>
          <w:sz w:val="20"/>
          <w:szCs w:val="20"/>
        </w:rPr>
        <w:t>:</w:t>
      </w:r>
    </w:p>
    <w:p w:rsidR="00FC7D44" w:rsidRDefault="00FC7D44" w:rsidP="00FC7D44">
      <w:pPr>
        <w:ind w:firstLine="567"/>
        <w:jc w:val="both"/>
        <w:rPr>
          <w:rFonts w:ascii="Arial" w:hAnsi="Arial" w:cs="Arial"/>
          <w:spacing w:val="-2"/>
          <w:sz w:val="20"/>
          <w:szCs w:val="20"/>
        </w:rPr>
      </w:pPr>
      <w:r>
        <w:rPr>
          <w:rFonts w:ascii="Arial" w:hAnsi="Arial" w:cs="Arial"/>
          <w:sz w:val="20"/>
          <w:szCs w:val="20"/>
        </w:rPr>
        <w:t xml:space="preserve">Lai gan Finanšu ministrija ir norādījusi, ka Tieslietu ministrijas iebildums nav saistīts ar izsludināto projektu, Tieslietu ministrija uztur izteikto iebildumu. Ņemot vērā, ka iebilduma pamatā ir Satversmes tiesas 2020. gada 17. decembra spriedumā noteiktais, uzskatām, ka veicot grozījumus Finanšu konglomerātu likumā, papildus nepieciešams novērst nepilnības spēkā esošā regulējuma normās, kas ir neatbilstošas Satversmei. Turklāt Tieslietu ministrijas ieskatā Finanšu ministrijas sniegtais skaidrojums, ka šobrīd </w:t>
      </w:r>
      <w:r>
        <w:rPr>
          <w:rFonts w:ascii="Arial" w:hAnsi="Arial" w:cs="Arial"/>
          <w:spacing w:val="-2"/>
          <w:sz w:val="20"/>
          <w:szCs w:val="20"/>
        </w:rPr>
        <w:t xml:space="preserve">finanšu nozari regulējošajos normatīvajos aktos regulējums attiecībā uz absolūto aizliegumu ieņemt valdes locekļa amatu ir vienveidīgs un konsekvents, tāpēc </w:t>
      </w:r>
      <w:proofErr w:type="spellStart"/>
      <w:r>
        <w:rPr>
          <w:rFonts w:ascii="Arial" w:hAnsi="Arial" w:cs="Arial"/>
          <w:spacing w:val="-2"/>
          <w:sz w:val="20"/>
          <w:szCs w:val="20"/>
        </w:rPr>
        <w:t>izvērtējums</w:t>
      </w:r>
      <w:proofErr w:type="spellEnd"/>
      <w:r>
        <w:rPr>
          <w:rFonts w:ascii="Arial" w:hAnsi="Arial" w:cs="Arial"/>
          <w:spacing w:val="-2"/>
          <w:sz w:val="20"/>
          <w:szCs w:val="20"/>
        </w:rPr>
        <w:t xml:space="preserve"> grozījumiem būtu jāveic kompleksi, nevar būt par pamatu iebilduma neņemšanai vērā. Norādām, ka ar likumprojektu ir iespējams uzsākt trūkumu novēršanu finanšu nozari regulējošajos normatīvajos aktos, uz kuriem norādījusi Satversmes tiesa. </w:t>
      </w:r>
    </w:p>
    <w:p w:rsidR="00FC7D44" w:rsidRDefault="00FC7D44" w:rsidP="00FC7D44">
      <w:pPr>
        <w:ind w:firstLine="567"/>
        <w:jc w:val="both"/>
        <w:rPr>
          <w:rFonts w:ascii="Arial" w:hAnsi="Arial" w:cs="Arial"/>
          <w:sz w:val="20"/>
          <w:szCs w:val="20"/>
        </w:rPr>
      </w:pPr>
      <w:r>
        <w:rPr>
          <w:rFonts w:ascii="Arial" w:hAnsi="Arial" w:cs="Arial"/>
          <w:sz w:val="20"/>
          <w:szCs w:val="20"/>
        </w:rPr>
        <w:t>Norādām, ka Finanšu konglomerātu likuma 18. panta otrajā daļā paredzētais ierobežojums, kas noteic aizliegumu ieņemt noteiktus amatus neierobežotu laiku arī pēc sodāmības dzēšanas vai noņemšanas ir uzskatāms par absolūtu,</w:t>
      </w:r>
      <w:r>
        <w:rPr>
          <w:rStyle w:val="Vresatsauce"/>
          <w:rFonts w:ascii="Arial" w:hAnsi="Arial" w:cs="Arial"/>
          <w:sz w:val="20"/>
          <w:szCs w:val="20"/>
        </w:rPr>
        <w:footnoteReference w:customMarkFollows="1" w:id="1"/>
        <w:t>[1]</w:t>
      </w:r>
      <w:r>
        <w:rPr>
          <w:rFonts w:ascii="Arial" w:hAnsi="Arial" w:cs="Arial"/>
          <w:sz w:val="20"/>
          <w:szCs w:val="20"/>
        </w:rPr>
        <w:t xml:space="preserve"> un tam nepieciešams analīzē balstīts </w:t>
      </w:r>
      <w:proofErr w:type="spellStart"/>
      <w:r>
        <w:rPr>
          <w:rFonts w:ascii="Arial" w:hAnsi="Arial" w:cs="Arial"/>
          <w:sz w:val="20"/>
          <w:szCs w:val="20"/>
        </w:rPr>
        <w:t>izvērtējums</w:t>
      </w:r>
      <w:proofErr w:type="spellEnd"/>
      <w:r>
        <w:rPr>
          <w:rFonts w:ascii="Arial" w:hAnsi="Arial" w:cs="Arial"/>
          <w:sz w:val="20"/>
          <w:szCs w:val="20"/>
        </w:rPr>
        <w:t>, kas pamatotu konkrētā aizlieguma nepieciešamību un 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pretējā gadījumā norma var tikt atzīta par neatbilstošu Satversmes 106. panta pirmajam teikumam.</w:t>
      </w:r>
      <w:r>
        <w:rPr>
          <w:rStyle w:val="Vresatsauce"/>
          <w:rFonts w:ascii="Arial" w:hAnsi="Arial" w:cs="Arial"/>
          <w:sz w:val="20"/>
          <w:szCs w:val="20"/>
        </w:rPr>
        <w:footnoteReference w:customMarkFollows="1" w:id="2"/>
        <w:t>[2]</w:t>
      </w:r>
    </w:p>
    <w:p w:rsidR="00FC7D44" w:rsidRDefault="00FC7D44" w:rsidP="00FC7D44">
      <w:pPr>
        <w:ind w:firstLine="567"/>
        <w:jc w:val="both"/>
        <w:rPr>
          <w:rFonts w:ascii="Arial" w:hAnsi="Arial" w:cs="Arial"/>
          <w:sz w:val="20"/>
          <w:szCs w:val="20"/>
        </w:rPr>
      </w:pPr>
      <w:r>
        <w:rPr>
          <w:rFonts w:ascii="Arial" w:hAnsi="Arial" w:cs="Arial"/>
          <w:sz w:val="20"/>
          <w:szCs w:val="20"/>
        </w:rPr>
        <w:t xml:space="preserve">Ņemot vērā minēto, lūdzam grozīt Finanšu konglomerātu likuma 18. panta otro daļu, izsakot to šādā vai līdzīgā redakcijā: “(3) Par ieguldījumu brokeru sabiedrības valdes priekšsēdētāju, valdes locekli, iekšējā audita dienesta vadītāju, risku direktoru, par darbības atbilstības kontroli atbildīgo personu,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 </w:t>
      </w:r>
    </w:p>
    <w:p w:rsidR="00FC7D44" w:rsidRDefault="00FC7D44" w:rsidP="00FC7D44">
      <w:pPr>
        <w:jc w:val="both"/>
        <w:rPr>
          <w:rFonts w:ascii="Arial" w:hAnsi="Arial" w:cs="Arial"/>
          <w:sz w:val="20"/>
          <w:szCs w:val="20"/>
        </w:rPr>
      </w:pPr>
      <w:r>
        <w:rPr>
          <w:rFonts w:ascii="Arial" w:hAnsi="Arial" w:cs="Arial"/>
          <w:sz w:val="20"/>
          <w:szCs w:val="20"/>
        </w:rPr>
        <w:t xml:space="preserve">1) ir sodīta par tīša noziedzīga nodarījuma izdarīšanu; </w:t>
      </w:r>
    </w:p>
    <w:p w:rsidR="00FC7D44" w:rsidRDefault="00FC7D44" w:rsidP="00FC7D44">
      <w:pPr>
        <w:jc w:val="both"/>
        <w:rPr>
          <w:rFonts w:ascii="Arial" w:hAnsi="Arial" w:cs="Arial"/>
          <w:sz w:val="20"/>
          <w:szCs w:val="20"/>
        </w:rPr>
      </w:pPr>
      <w:r>
        <w:rPr>
          <w:rFonts w:ascii="Arial" w:hAnsi="Arial" w:cs="Arial"/>
          <w:sz w:val="20"/>
          <w:szCs w:val="20"/>
        </w:rPr>
        <w:t>2) par tīša noziedzīga nodarījuma izdarīšanu notiesāta, atbrīvojot no soda vai pret kuru kriminālprocess izbeigts uz nereabilitējoša pamata — kamēr nav pagājis gads pēc attiecīgā lēmuma stāšanās spēkā.”</w:t>
      </w:r>
    </w:p>
    <w:p w:rsidR="00FC7D44" w:rsidRDefault="00FC7D44" w:rsidP="00FC7D44">
      <w:pPr>
        <w:ind w:firstLine="567"/>
        <w:jc w:val="both"/>
        <w:rPr>
          <w:rFonts w:ascii="Arial" w:hAnsi="Arial" w:cs="Arial"/>
          <w:sz w:val="20"/>
          <w:szCs w:val="20"/>
        </w:rPr>
      </w:pPr>
      <w:r>
        <w:rPr>
          <w:rFonts w:ascii="Arial" w:hAnsi="Arial" w:cs="Arial"/>
          <w:sz w:val="20"/>
          <w:szCs w:val="20"/>
        </w:rPr>
        <w:lastRenderedPageBreak/>
        <w:t>Tomēr gadījumā, ja Finanšu konglomerātu likumā ir plānots saglabāt absolūto aizliegumu ieņemt amatu, tad saskaņā ar Satversmes tiesas judikatūru</w:t>
      </w:r>
      <w:r>
        <w:rPr>
          <w:rStyle w:val="Vresatsauce"/>
          <w:rFonts w:ascii="Arial" w:hAnsi="Arial" w:cs="Arial"/>
          <w:sz w:val="20"/>
          <w:szCs w:val="20"/>
        </w:rPr>
        <w:footnoteReference w:customMarkFollows="1" w:id="3"/>
        <w:t>[3]</w:t>
      </w:r>
      <w:r>
        <w:rPr>
          <w:rFonts w:ascii="Arial" w:hAnsi="Arial" w:cs="Arial"/>
          <w:sz w:val="20"/>
          <w:szCs w:val="20"/>
        </w:rPr>
        <w:t xml:space="preserve"> nepieciešams izstrādāt regulējumu, kas paredz izvērtēšanas komisijas veidošanu, kura būtu tiesīga izvērtēt tāda kandidāta, kurš kādreiz ir bijis sodīts par tīša noziedzīga nodarījuma izdarīšanu, atbilstību darbam ieguldījumu brokeru sabiedrībā, ļaujot tam izņēmuma kārtā ieņemt amatu pie šāda absolūta aizlieguma pastāvēšanas.</w:t>
      </w:r>
      <w:r>
        <w:rPr>
          <w:rStyle w:val="Vresatsauce"/>
          <w:rFonts w:ascii="Arial" w:hAnsi="Arial" w:cs="Arial"/>
          <w:sz w:val="20"/>
          <w:szCs w:val="20"/>
        </w:rPr>
        <w:footnoteReference w:customMarkFollows="1" w:id="4"/>
        <w:t>[4]</w:t>
      </w:r>
      <w:r>
        <w:rPr>
          <w:rFonts w:ascii="Arial" w:hAnsi="Arial" w:cs="Arial"/>
          <w:sz w:val="20"/>
          <w:szCs w:val="20"/>
        </w:rPr>
        <w:t xml:space="preserve"> Šāda kārtība ļautu izdarīt pamatotu vērtējumu tam, vai ļaut vai neļaut konkrētai personai kandidēt uz amatu ieguldījumu brokeru sabiedrībā, kā arī ļautu </w:t>
      </w:r>
      <w:proofErr w:type="spellStart"/>
      <w:r>
        <w:rPr>
          <w:rFonts w:ascii="Arial" w:hAnsi="Arial" w:cs="Arial"/>
          <w:sz w:val="20"/>
          <w:szCs w:val="20"/>
        </w:rPr>
        <w:t>pamattiesību</w:t>
      </w:r>
      <w:proofErr w:type="spellEnd"/>
      <w:r>
        <w:rPr>
          <w:rFonts w:ascii="Arial" w:hAnsi="Arial" w:cs="Arial"/>
          <w:sz w:val="20"/>
          <w:szCs w:val="20"/>
        </w:rPr>
        <w:t xml:space="preserve"> ierobežojuma leģitīmo mērķi sasniegt vismaz tādā pašā kvalitātē.</w:t>
      </w:r>
    </w:p>
    <w:p w:rsidR="00FC7D44" w:rsidRDefault="00FC7D44" w:rsidP="00FC7D44">
      <w:pPr>
        <w:ind w:firstLine="567"/>
        <w:jc w:val="both"/>
        <w:rPr>
          <w:rFonts w:ascii="Arial" w:hAnsi="Arial" w:cs="Arial"/>
          <w:sz w:val="20"/>
          <w:szCs w:val="20"/>
        </w:rPr>
      </w:pPr>
      <w:r>
        <w:rPr>
          <w:rFonts w:ascii="Arial" w:hAnsi="Arial" w:cs="Arial"/>
          <w:spacing w:val="-2"/>
          <w:sz w:val="20"/>
          <w:szCs w:val="20"/>
        </w:rPr>
        <w:t>Ņemot vērā iepriekš minēto, aicinām precizēt likumprojektu atbilstoši iebildumā norādītajam.</w:t>
      </w:r>
    </w:p>
    <w:p w:rsidR="00FC7D44" w:rsidRDefault="00FC7D44" w:rsidP="00FC7D44">
      <w:pPr>
        <w:jc w:val="both"/>
        <w:rPr>
          <w:rFonts w:ascii="Calibri" w:hAnsi="Calibri" w:cs="Calibri"/>
        </w:rPr>
      </w:pPr>
    </w:p>
    <w:p w:rsidR="00FC7D44" w:rsidRDefault="00FC7D44" w:rsidP="00FC7D44">
      <w:pPr>
        <w:pStyle w:val="FootnoteText"/>
        <w:rPr>
          <w:rFonts w:ascii="Arial" w:hAnsi="Arial" w:cs="Arial"/>
          <w:i/>
          <w:iCs/>
          <w:sz w:val="16"/>
          <w:szCs w:val="16"/>
        </w:rPr>
      </w:pPr>
      <w:r>
        <w:rPr>
          <w:rStyle w:val="Vresatsauce"/>
          <w:rFonts w:ascii="Arial" w:hAnsi="Arial" w:cs="Arial"/>
          <w:i/>
          <w:iCs/>
          <w:sz w:val="16"/>
          <w:szCs w:val="16"/>
        </w:rPr>
        <w:t>[1]</w:t>
      </w:r>
      <w:r>
        <w:rPr>
          <w:rFonts w:ascii="Arial" w:hAnsi="Arial" w:cs="Arial"/>
          <w:i/>
          <w:iCs/>
          <w:sz w:val="16"/>
          <w:szCs w:val="16"/>
        </w:rPr>
        <w:t xml:space="preserve"> Sk. Satversmes tiesas 2019. gada 5. decembra sprieduma lietā Nr. 2019-01-01 19.2. punktu.</w:t>
      </w:r>
    </w:p>
    <w:p w:rsidR="00FC7D44" w:rsidRDefault="00FC7D44" w:rsidP="00FC7D44">
      <w:pPr>
        <w:pStyle w:val="FootnoteText"/>
        <w:rPr>
          <w:rFonts w:ascii="Arial" w:hAnsi="Arial" w:cs="Arial"/>
          <w:i/>
          <w:iCs/>
          <w:sz w:val="16"/>
          <w:szCs w:val="16"/>
        </w:rPr>
      </w:pPr>
      <w:r>
        <w:rPr>
          <w:rStyle w:val="Vresatsauce"/>
          <w:rFonts w:ascii="Arial" w:hAnsi="Arial" w:cs="Arial"/>
          <w:i/>
          <w:iCs/>
          <w:sz w:val="16"/>
          <w:szCs w:val="16"/>
        </w:rPr>
        <w:t>[</w:t>
      </w:r>
      <w:r>
        <w:rPr>
          <w:rFonts w:ascii="Arial" w:hAnsi="Arial" w:cs="Arial"/>
          <w:i/>
          <w:iCs/>
          <w:sz w:val="16"/>
          <w:szCs w:val="16"/>
          <w:vertAlign w:val="superscript"/>
        </w:rPr>
        <w:t>2</w:t>
      </w:r>
      <w:r>
        <w:rPr>
          <w:rStyle w:val="Vresatsauce"/>
          <w:rFonts w:ascii="Arial" w:hAnsi="Arial" w:cs="Arial"/>
          <w:i/>
          <w:iCs/>
          <w:sz w:val="16"/>
          <w:szCs w:val="16"/>
        </w:rPr>
        <w:t>]</w:t>
      </w:r>
      <w:r>
        <w:rPr>
          <w:rFonts w:ascii="Arial" w:hAnsi="Arial" w:cs="Arial"/>
          <w:i/>
          <w:iCs/>
          <w:sz w:val="16"/>
          <w:szCs w:val="16"/>
        </w:rPr>
        <w:t xml:space="preserve"> Sk. Satversmes tiesas 2020. gada 17. decembra spriedumu lietā Nr.2020-18-01 23.2. punktu.</w:t>
      </w:r>
    </w:p>
    <w:p w:rsidR="00FC7D44" w:rsidRDefault="00FC7D44" w:rsidP="00FC7D44">
      <w:pPr>
        <w:pStyle w:val="FootnoteText"/>
        <w:rPr>
          <w:rFonts w:ascii="Arial" w:hAnsi="Arial" w:cs="Arial"/>
          <w:i/>
          <w:iCs/>
          <w:sz w:val="16"/>
          <w:szCs w:val="16"/>
        </w:rPr>
      </w:pPr>
      <w:r>
        <w:rPr>
          <w:rStyle w:val="Vresatsauce"/>
          <w:rFonts w:ascii="Arial" w:hAnsi="Arial" w:cs="Arial"/>
          <w:i/>
          <w:iCs/>
          <w:sz w:val="16"/>
          <w:szCs w:val="16"/>
        </w:rPr>
        <w:t>[</w:t>
      </w:r>
      <w:r>
        <w:rPr>
          <w:rFonts w:ascii="Arial" w:hAnsi="Arial" w:cs="Arial"/>
          <w:i/>
          <w:iCs/>
          <w:sz w:val="16"/>
          <w:szCs w:val="16"/>
          <w:vertAlign w:val="superscript"/>
        </w:rPr>
        <w:t>3</w:t>
      </w:r>
      <w:r>
        <w:rPr>
          <w:rStyle w:val="Vresatsauce"/>
          <w:rFonts w:ascii="Arial" w:hAnsi="Arial" w:cs="Arial"/>
          <w:i/>
          <w:iCs/>
          <w:sz w:val="16"/>
          <w:szCs w:val="16"/>
        </w:rPr>
        <w:t>]</w:t>
      </w:r>
      <w:r>
        <w:rPr>
          <w:rFonts w:ascii="Arial" w:hAnsi="Arial" w:cs="Arial"/>
          <w:i/>
          <w:iCs/>
          <w:sz w:val="16"/>
          <w:szCs w:val="16"/>
        </w:rPr>
        <w:t xml:space="preserve"> Turpat, 24. punkts. </w:t>
      </w:r>
    </w:p>
    <w:p w:rsidR="00FC7D44" w:rsidRDefault="00FC7D44" w:rsidP="00FC7D44">
      <w:pPr>
        <w:jc w:val="both"/>
        <w:rPr>
          <w:rFonts w:ascii="Arial" w:hAnsi="Arial" w:cs="Arial"/>
          <w:i/>
          <w:iCs/>
          <w:sz w:val="16"/>
          <w:szCs w:val="16"/>
        </w:rPr>
      </w:pPr>
      <w:r>
        <w:rPr>
          <w:rStyle w:val="Vresatsauce"/>
          <w:rFonts w:ascii="Arial" w:hAnsi="Arial" w:cs="Arial"/>
          <w:i/>
          <w:iCs/>
          <w:sz w:val="16"/>
          <w:szCs w:val="16"/>
        </w:rPr>
        <w:t>[</w:t>
      </w:r>
      <w:r>
        <w:rPr>
          <w:rFonts w:ascii="Arial" w:hAnsi="Arial" w:cs="Arial"/>
          <w:i/>
          <w:iCs/>
          <w:sz w:val="16"/>
          <w:szCs w:val="16"/>
          <w:vertAlign w:val="superscript"/>
        </w:rPr>
        <w:t>4</w:t>
      </w:r>
      <w:r>
        <w:rPr>
          <w:rStyle w:val="Vresatsauce"/>
          <w:rFonts w:ascii="Arial" w:hAnsi="Arial" w:cs="Arial"/>
          <w:i/>
          <w:iCs/>
          <w:sz w:val="16"/>
          <w:szCs w:val="16"/>
        </w:rPr>
        <w:t>]</w:t>
      </w:r>
      <w:r>
        <w:rPr>
          <w:rFonts w:ascii="Arial" w:hAnsi="Arial" w:cs="Arial"/>
          <w:i/>
          <w:iCs/>
          <w:sz w:val="16"/>
          <w:szCs w:val="16"/>
        </w:rPr>
        <w:t xml:space="preserve"> Sk., piemēram, Izglītības likuma 50. panta pirmās daļas 1. punktā paredzēto izņēmumu: “Par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p w:rsidR="00FC7D44" w:rsidRDefault="00FC7D44" w:rsidP="00FC7D44">
      <w:pPr>
        <w:rPr>
          <w:rFonts w:ascii="Arial" w:hAnsi="Arial" w:cs="Arial"/>
          <w:sz w:val="20"/>
          <w:szCs w:val="20"/>
        </w:rPr>
      </w:pPr>
    </w:p>
    <w:p w:rsidR="00FC7D44" w:rsidRDefault="00FC7D44" w:rsidP="00FC7D44">
      <w:pPr>
        <w:rPr>
          <w:rFonts w:ascii="Arial" w:hAnsi="Arial" w:cs="Arial"/>
          <w:sz w:val="20"/>
          <w:szCs w:val="20"/>
        </w:rPr>
      </w:pPr>
    </w:p>
    <w:p w:rsidR="00FC7D44" w:rsidRDefault="00FC7D44" w:rsidP="00FC7D44">
      <w:pPr>
        <w:rPr>
          <w:rFonts w:ascii="Arial" w:hAnsi="Arial" w:cs="Arial"/>
          <w:color w:val="201F1E"/>
          <w:sz w:val="20"/>
          <w:szCs w:val="20"/>
          <w:bdr w:val="none" w:sz="0" w:space="0" w:color="auto" w:frame="1"/>
          <w:shd w:val="clear" w:color="auto" w:fill="FFFFFF"/>
          <w:lang w:val="en-US" w:eastAsia="lv-LV"/>
        </w:rPr>
      </w:pPr>
      <w:r w:rsidRPr="00FC7D44">
        <w:rPr>
          <w:rFonts w:ascii="Arial" w:hAnsi="Arial" w:cs="Arial"/>
          <w:i/>
          <w:iCs/>
          <w:color w:val="201F1E"/>
          <w:sz w:val="20"/>
          <w:szCs w:val="20"/>
          <w:bdr w:val="none" w:sz="0" w:space="0" w:color="auto" w:frame="1"/>
          <w:shd w:val="clear" w:color="auto" w:fill="FFFFFF"/>
          <w:lang w:eastAsia="lv-LV"/>
        </w:rPr>
        <w:t>Ar cieņu</w:t>
      </w:r>
      <w:r w:rsidRPr="00FC7D44">
        <w:rPr>
          <w:rFonts w:ascii="Arial" w:hAnsi="Arial" w:cs="Arial"/>
          <w:color w:val="201F1E"/>
          <w:sz w:val="20"/>
          <w:szCs w:val="20"/>
          <w:lang w:eastAsia="lv-LV"/>
        </w:rPr>
        <w:br/>
      </w:r>
      <w:r w:rsidRPr="00FC7D44">
        <w:rPr>
          <w:rFonts w:ascii="Arial" w:hAnsi="Arial" w:cs="Arial"/>
          <w:color w:val="201F1E"/>
          <w:sz w:val="20"/>
          <w:szCs w:val="20"/>
          <w:bdr w:val="none" w:sz="0" w:space="0" w:color="auto" w:frame="1"/>
          <w:shd w:val="clear" w:color="auto" w:fill="FFFFFF"/>
          <w:lang w:eastAsia="lv-LV"/>
        </w:rPr>
        <w:t> </w:t>
      </w:r>
      <w:r w:rsidRPr="00FC7D44">
        <w:rPr>
          <w:rFonts w:ascii="Tahoma" w:hAnsi="Tahoma" w:cs="Tahoma"/>
          <w:color w:val="201F1E"/>
          <w:sz w:val="20"/>
          <w:szCs w:val="20"/>
          <w:lang w:eastAsia="lv-LV"/>
        </w:rPr>
        <w:br/>
      </w:r>
      <w:r w:rsidRPr="00FC7D44">
        <w:rPr>
          <w:rFonts w:ascii="Arial" w:hAnsi="Arial" w:cs="Arial"/>
          <w:b/>
          <w:bCs/>
          <w:color w:val="201F1E"/>
          <w:sz w:val="20"/>
          <w:szCs w:val="20"/>
          <w:bdr w:val="none" w:sz="0" w:space="0" w:color="auto" w:frame="1"/>
          <w:shd w:val="clear" w:color="auto" w:fill="FFFFFF"/>
          <w:lang w:eastAsia="lv-LV"/>
        </w:rPr>
        <w:t>Gita Daukste</w:t>
      </w:r>
      <w:r w:rsidRPr="00FC7D44">
        <w:rPr>
          <w:rFonts w:ascii="Tahoma" w:hAnsi="Tahoma" w:cs="Tahoma"/>
          <w:color w:val="201F1E"/>
          <w:sz w:val="20"/>
          <w:szCs w:val="20"/>
          <w:lang w:eastAsia="lv-LV"/>
        </w:rPr>
        <w:br/>
      </w:r>
      <w:r w:rsidRPr="00FC7D44">
        <w:rPr>
          <w:rFonts w:ascii="Arial" w:hAnsi="Arial" w:cs="Arial"/>
          <w:color w:val="201F1E"/>
          <w:sz w:val="20"/>
          <w:szCs w:val="20"/>
          <w:bdr w:val="none" w:sz="0" w:space="0" w:color="auto" w:frame="1"/>
          <w:shd w:val="clear" w:color="auto" w:fill="FFFFFF"/>
          <w:lang w:eastAsia="lv-LV"/>
        </w:rPr>
        <w:t>Tieslietu ministrijas</w:t>
      </w:r>
      <w:r w:rsidRPr="00FC7D44">
        <w:rPr>
          <w:rFonts w:ascii="Tahoma" w:hAnsi="Tahoma" w:cs="Tahoma"/>
          <w:color w:val="201F1E"/>
          <w:sz w:val="20"/>
          <w:szCs w:val="20"/>
          <w:lang w:eastAsia="lv-LV"/>
        </w:rPr>
        <w:br/>
      </w:r>
      <w:r w:rsidRPr="00FC7D44">
        <w:rPr>
          <w:rFonts w:ascii="Arial" w:hAnsi="Arial" w:cs="Arial"/>
          <w:color w:val="201F1E"/>
          <w:sz w:val="20"/>
          <w:szCs w:val="20"/>
          <w:bdr w:val="none" w:sz="0" w:space="0" w:color="auto" w:frame="1"/>
          <w:shd w:val="clear" w:color="auto" w:fill="FFFFFF"/>
          <w:lang w:eastAsia="lv-LV"/>
        </w:rPr>
        <w:t>Civiltiesību departamenta</w:t>
      </w:r>
      <w:r w:rsidRPr="00FC7D44">
        <w:rPr>
          <w:rFonts w:ascii="Tahoma" w:hAnsi="Tahoma" w:cs="Tahoma"/>
          <w:color w:val="201F1E"/>
          <w:sz w:val="20"/>
          <w:szCs w:val="20"/>
          <w:lang w:eastAsia="lv-LV"/>
        </w:rPr>
        <w:br/>
      </w:r>
      <w:r w:rsidRPr="00FC7D44">
        <w:rPr>
          <w:rFonts w:ascii="Arial" w:hAnsi="Arial" w:cs="Arial"/>
          <w:color w:val="201F1E"/>
          <w:sz w:val="20"/>
          <w:szCs w:val="20"/>
          <w:bdr w:val="none" w:sz="0" w:space="0" w:color="auto" w:frame="1"/>
          <w:shd w:val="clear" w:color="auto" w:fill="FFFFFF"/>
          <w:lang w:eastAsia="lv-LV"/>
        </w:rPr>
        <w:t>Komerctiesību nodaļas juriste</w:t>
      </w:r>
      <w:r w:rsidRPr="00FC7D44">
        <w:rPr>
          <w:rFonts w:ascii="Tahoma" w:hAnsi="Tahoma" w:cs="Tahoma"/>
          <w:color w:val="201F1E"/>
          <w:sz w:val="20"/>
          <w:szCs w:val="20"/>
          <w:lang w:eastAsia="lv-LV"/>
        </w:rPr>
        <w:br/>
      </w:r>
      <w:r w:rsidRPr="00FC7D44">
        <w:rPr>
          <w:rFonts w:ascii="Arial" w:hAnsi="Arial" w:cs="Arial"/>
          <w:color w:val="201F1E"/>
          <w:sz w:val="20"/>
          <w:szCs w:val="20"/>
          <w:bdr w:val="none" w:sz="0" w:space="0" w:color="auto" w:frame="1"/>
          <w:shd w:val="clear" w:color="auto" w:fill="FFFFFF"/>
          <w:lang w:eastAsia="lv-LV"/>
        </w:rPr>
        <w:t>Tālr. 67036795</w:t>
      </w:r>
      <w:r w:rsidRPr="00FC7D44">
        <w:rPr>
          <w:rFonts w:ascii="Tahoma" w:hAnsi="Tahoma" w:cs="Tahoma"/>
          <w:color w:val="201F1E"/>
          <w:sz w:val="20"/>
          <w:szCs w:val="20"/>
          <w:lang w:eastAsia="lv-LV"/>
        </w:rPr>
        <w:br/>
      </w:r>
      <w:r w:rsidRPr="00FC7D44">
        <w:rPr>
          <w:rFonts w:ascii="Arial" w:hAnsi="Arial" w:cs="Arial"/>
          <w:color w:val="201F1E"/>
          <w:sz w:val="20"/>
          <w:szCs w:val="20"/>
          <w:bdr w:val="none" w:sz="0" w:space="0" w:color="auto" w:frame="1"/>
          <w:shd w:val="clear" w:color="auto" w:fill="FFFFFF"/>
          <w:lang w:eastAsia="lv-LV"/>
        </w:rPr>
        <w:t>Atrašanās vieta: Raiņa bulvārī 15, Rīgā, LV-1050.</w:t>
      </w:r>
      <w:r w:rsidRPr="00FC7D44">
        <w:rPr>
          <w:rFonts w:ascii="Tahoma" w:hAnsi="Tahoma" w:cs="Tahoma"/>
          <w:color w:val="201F1E"/>
          <w:sz w:val="20"/>
          <w:szCs w:val="20"/>
          <w:lang w:eastAsia="lv-LV"/>
        </w:rPr>
        <w:br/>
      </w:r>
      <w:proofErr w:type="spellStart"/>
      <w:r>
        <w:rPr>
          <w:rFonts w:ascii="Arial" w:hAnsi="Arial" w:cs="Arial"/>
          <w:color w:val="201F1E"/>
          <w:sz w:val="20"/>
          <w:szCs w:val="20"/>
          <w:bdr w:val="none" w:sz="0" w:space="0" w:color="auto" w:frame="1"/>
          <w:shd w:val="clear" w:color="auto" w:fill="FFFFFF"/>
          <w:lang w:val="en-US" w:eastAsia="lv-LV"/>
        </w:rPr>
        <w:t>Juridiskā</w:t>
      </w:r>
      <w:proofErr w:type="spellEnd"/>
      <w:r>
        <w:rPr>
          <w:rFonts w:ascii="Arial" w:hAnsi="Arial" w:cs="Arial"/>
          <w:color w:val="201F1E"/>
          <w:sz w:val="20"/>
          <w:szCs w:val="20"/>
          <w:bdr w:val="none" w:sz="0" w:space="0" w:color="auto" w:frame="1"/>
          <w:shd w:val="clear" w:color="auto" w:fill="FFFFFF"/>
          <w:lang w:val="en-US" w:eastAsia="lv-LV"/>
        </w:rPr>
        <w:t xml:space="preserve"> </w:t>
      </w:r>
      <w:proofErr w:type="spellStart"/>
      <w:r>
        <w:rPr>
          <w:rFonts w:ascii="Arial" w:hAnsi="Arial" w:cs="Arial"/>
          <w:color w:val="201F1E"/>
          <w:sz w:val="20"/>
          <w:szCs w:val="20"/>
          <w:bdr w:val="none" w:sz="0" w:space="0" w:color="auto" w:frame="1"/>
          <w:shd w:val="clear" w:color="auto" w:fill="FFFFFF"/>
          <w:lang w:val="en-US" w:eastAsia="lv-LV"/>
        </w:rPr>
        <w:t>adrese</w:t>
      </w:r>
      <w:proofErr w:type="spellEnd"/>
      <w:r>
        <w:rPr>
          <w:rFonts w:ascii="Arial" w:hAnsi="Arial" w:cs="Arial"/>
          <w:color w:val="201F1E"/>
          <w:sz w:val="20"/>
          <w:szCs w:val="20"/>
          <w:bdr w:val="none" w:sz="0" w:space="0" w:color="auto" w:frame="1"/>
          <w:shd w:val="clear" w:color="auto" w:fill="FFFFFF"/>
          <w:lang w:val="en-US" w:eastAsia="lv-LV"/>
        </w:rPr>
        <w:t xml:space="preserve">: </w:t>
      </w:r>
      <w:proofErr w:type="spellStart"/>
      <w:r>
        <w:rPr>
          <w:rFonts w:ascii="Arial" w:hAnsi="Arial" w:cs="Arial"/>
          <w:color w:val="201F1E"/>
          <w:sz w:val="20"/>
          <w:szCs w:val="20"/>
          <w:bdr w:val="none" w:sz="0" w:space="0" w:color="auto" w:frame="1"/>
          <w:shd w:val="clear" w:color="auto" w:fill="FFFFFF"/>
          <w:lang w:val="en-US" w:eastAsia="lv-LV"/>
        </w:rPr>
        <w:t>Brīvības</w:t>
      </w:r>
      <w:proofErr w:type="spellEnd"/>
      <w:r>
        <w:rPr>
          <w:rFonts w:ascii="Arial" w:hAnsi="Arial" w:cs="Arial"/>
          <w:color w:val="201F1E"/>
          <w:sz w:val="20"/>
          <w:szCs w:val="20"/>
          <w:bdr w:val="none" w:sz="0" w:space="0" w:color="auto" w:frame="1"/>
          <w:shd w:val="clear" w:color="auto" w:fill="FFFFFF"/>
          <w:lang w:val="en-US" w:eastAsia="lv-LV"/>
        </w:rPr>
        <w:t xml:space="preserve"> </w:t>
      </w:r>
      <w:proofErr w:type="spellStart"/>
      <w:r>
        <w:rPr>
          <w:rFonts w:ascii="Arial" w:hAnsi="Arial" w:cs="Arial"/>
          <w:color w:val="201F1E"/>
          <w:sz w:val="20"/>
          <w:szCs w:val="20"/>
          <w:bdr w:val="none" w:sz="0" w:space="0" w:color="auto" w:frame="1"/>
          <w:shd w:val="clear" w:color="auto" w:fill="FFFFFF"/>
          <w:lang w:val="en-US" w:eastAsia="lv-LV"/>
        </w:rPr>
        <w:t>bulvārī</w:t>
      </w:r>
      <w:proofErr w:type="spellEnd"/>
      <w:r>
        <w:rPr>
          <w:rFonts w:ascii="Arial" w:hAnsi="Arial" w:cs="Arial"/>
          <w:color w:val="201F1E"/>
          <w:sz w:val="20"/>
          <w:szCs w:val="20"/>
          <w:bdr w:val="none" w:sz="0" w:space="0" w:color="auto" w:frame="1"/>
          <w:shd w:val="clear" w:color="auto" w:fill="FFFFFF"/>
          <w:lang w:val="en-US" w:eastAsia="lv-LV"/>
        </w:rPr>
        <w:t xml:space="preserve"> 36, </w:t>
      </w:r>
      <w:proofErr w:type="spellStart"/>
      <w:r>
        <w:rPr>
          <w:rFonts w:ascii="Arial" w:hAnsi="Arial" w:cs="Arial"/>
          <w:color w:val="201F1E"/>
          <w:sz w:val="20"/>
          <w:szCs w:val="20"/>
          <w:bdr w:val="none" w:sz="0" w:space="0" w:color="auto" w:frame="1"/>
          <w:shd w:val="clear" w:color="auto" w:fill="FFFFFF"/>
          <w:lang w:val="en-US" w:eastAsia="lv-LV"/>
        </w:rPr>
        <w:t>Rīgā</w:t>
      </w:r>
      <w:proofErr w:type="spellEnd"/>
      <w:r>
        <w:rPr>
          <w:rFonts w:ascii="Arial" w:hAnsi="Arial" w:cs="Arial"/>
          <w:color w:val="201F1E"/>
          <w:sz w:val="20"/>
          <w:szCs w:val="20"/>
          <w:bdr w:val="none" w:sz="0" w:space="0" w:color="auto" w:frame="1"/>
          <w:shd w:val="clear" w:color="auto" w:fill="FFFFFF"/>
          <w:lang w:val="en-US" w:eastAsia="lv-LV"/>
        </w:rPr>
        <w:t>, LV-1536.</w:t>
      </w:r>
    </w:p>
    <w:p w:rsidR="00FC7D44" w:rsidRDefault="00FC7D44" w:rsidP="00FC7D44">
      <w:pPr>
        <w:rPr>
          <w:rFonts w:ascii="Arial" w:hAnsi="Arial" w:cs="Arial"/>
          <w:color w:val="201F1E"/>
          <w:sz w:val="4"/>
          <w:szCs w:val="4"/>
          <w:bdr w:val="none" w:sz="0" w:space="0" w:color="auto" w:frame="1"/>
          <w:shd w:val="clear" w:color="auto" w:fill="FFFFFF"/>
          <w:lang w:val="en-US" w:eastAsia="lv-LV"/>
        </w:rPr>
      </w:pPr>
    </w:p>
    <w:p w:rsidR="00FC7D44" w:rsidRDefault="00FC7D44" w:rsidP="00FC7D44">
      <w:pPr>
        <w:rPr>
          <w:rFonts w:ascii="Arial" w:hAnsi="Arial" w:cs="Arial"/>
          <w:sz w:val="20"/>
          <w:szCs w:val="20"/>
          <w:lang w:val="en-US" w:eastAsia="lv-LV"/>
        </w:rPr>
      </w:pPr>
      <w:r>
        <w:rPr>
          <w:rFonts w:ascii="Arial" w:hAnsi="Arial" w:cs="Arial"/>
          <w:noProof/>
          <w:sz w:val="20"/>
          <w:szCs w:val="20"/>
          <w:lang w:eastAsia="lv-LV"/>
        </w:rPr>
        <w:drawing>
          <wp:inline distT="0" distB="0" distL="0" distR="0">
            <wp:extent cx="1257300" cy="990600"/>
            <wp:effectExtent l="0" t="0" r="0" b="0"/>
            <wp:docPr id="1" name="Picture 1" descr="cid:image002.png@01D745BA.DCE5A4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745BA.DCE5A4B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FC7D44" w:rsidRDefault="00FC7D44"/>
    <w:sectPr w:rsidR="00FC7D4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B43" w:rsidRDefault="00934B43" w:rsidP="00FC7D44">
      <w:pPr>
        <w:spacing w:after="0" w:line="240" w:lineRule="auto"/>
      </w:pPr>
      <w:r>
        <w:separator/>
      </w:r>
    </w:p>
  </w:endnote>
  <w:endnote w:type="continuationSeparator" w:id="0">
    <w:p w:rsidR="00934B43" w:rsidRDefault="00934B43" w:rsidP="00FC7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B43" w:rsidRDefault="00934B43" w:rsidP="00FC7D44">
      <w:pPr>
        <w:spacing w:after="0" w:line="240" w:lineRule="auto"/>
      </w:pPr>
      <w:r>
        <w:separator/>
      </w:r>
    </w:p>
  </w:footnote>
  <w:footnote w:type="continuationSeparator" w:id="0">
    <w:p w:rsidR="00934B43" w:rsidRDefault="00934B43" w:rsidP="00FC7D44">
      <w:pPr>
        <w:spacing w:after="0" w:line="240" w:lineRule="auto"/>
      </w:pPr>
      <w:r>
        <w:continuationSeparator/>
      </w:r>
    </w:p>
  </w:footnote>
  <w:footnote w:id="1">
    <w:p w:rsidR="00FC7D44" w:rsidRDefault="00FC7D44" w:rsidP="00FC7D44">
      <w:pPr>
        <w:pStyle w:val="FootnoteText"/>
      </w:pPr>
      <w:r>
        <w:rPr>
          <w:rStyle w:val="Vresatsauce"/>
        </w:rPr>
        <w:t>[1]</w:t>
      </w:r>
      <w:r>
        <w:t xml:space="preserve"> Sk. Satversmes tiesas 2019. gada 5. decembra sprieduma lietā Nr. 2019-01-01 19.2. punktu.</w:t>
      </w:r>
    </w:p>
  </w:footnote>
  <w:footnote w:id="2">
    <w:p w:rsidR="00FC7D44" w:rsidRDefault="00FC7D44" w:rsidP="00FC7D44">
      <w:pPr>
        <w:pStyle w:val="FootnoteText"/>
      </w:pPr>
      <w:r>
        <w:rPr>
          <w:rStyle w:val="Vresatsauce"/>
        </w:rPr>
        <w:t>[2]</w:t>
      </w:r>
      <w:r>
        <w:t xml:space="preserve"> Sk. Satversmes tiesas 2020. gada 17. decembra spriedumu lietā Nr.2020-18-01 23.2. punktu.</w:t>
      </w:r>
    </w:p>
  </w:footnote>
  <w:footnote w:id="3">
    <w:p w:rsidR="00FC7D44" w:rsidRDefault="00FC7D44" w:rsidP="00FC7D44">
      <w:pPr>
        <w:pStyle w:val="FootnoteText"/>
      </w:pPr>
      <w:r>
        <w:rPr>
          <w:rStyle w:val="Vresatsauce"/>
        </w:rPr>
        <w:t>[3]</w:t>
      </w:r>
      <w:r>
        <w:t xml:space="preserve"> Turpat, 24. punkts. </w:t>
      </w:r>
    </w:p>
  </w:footnote>
  <w:footnote w:id="4">
    <w:p w:rsidR="00FC7D44" w:rsidRDefault="00FC7D44" w:rsidP="00FC7D44">
      <w:pPr>
        <w:pStyle w:val="FootnoteText"/>
      </w:pPr>
      <w:r>
        <w:rPr>
          <w:rStyle w:val="Vresatsauce"/>
        </w:rPr>
        <w:t>[4]</w:t>
      </w:r>
      <w:r>
        <w:t xml:space="preserve"> Sk., piemēram, Izglītības likuma 50. panta pirmās daļas 1. punktā paredzēto izņēmumu: “</w:t>
      </w:r>
      <w:r>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D44"/>
    <w:rsid w:val="00934B43"/>
    <w:rsid w:val="00A326EC"/>
    <w:rsid w:val="00A53A87"/>
    <w:rsid w:val="00AF38EB"/>
    <w:rsid w:val="00FC7D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EAE8"/>
  <w15:chartTrackingRefBased/>
  <w15:docId w15:val="{4334C821-56BF-49A8-B725-0A8BE0988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D44"/>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7D44"/>
    <w:rPr>
      <w:color w:val="0563C1" w:themeColor="hyperlink"/>
      <w:u w:val="single"/>
    </w:rPr>
  </w:style>
  <w:style w:type="paragraph" w:styleId="FootnoteText">
    <w:name w:val="footnote text"/>
    <w:basedOn w:val="Normal"/>
    <w:link w:val="FootnoteTextChar"/>
    <w:uiPriority w:val="99"/>
    <w:semiHidden/>
    <w:unhideWhenUsed/>
    <w:rsid w:val="00FC7D44"/>
    <w:pPr>
      <w:spacing w:after="0" w:line="240" w:lineRule="auto"/>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C7D44"/>
    <w:rPr>
      <w:rFonts w:ascii="Times New Roman" w:hAnsi="Times New Roman" w:cs="Times New Roman"/>
      <w:sz w:val="20"/>
      <w:szCs w:val="20"/>
    </w:rPr>
  </w:style>
  <w:style w:type="character" w:customStyle="1" w:styleId="Vresatsauce">
    <w:name w:val="Vēres atsau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rsid w:val="00FC7D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1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m.gov.lv" TargetMode="External"/><Relationship Id="rId13" Type="http://schemas.openxmlformats.org/officeDocument/2006/relationships/image" Target="cid:image002.png@01D745BA.DCE5A4B0" TargetMode="External"/><Relationship Id="rId3" Type="http://schemas.openxmlformats.org/officeDocument/2006/relationships/webSettings" Target="webSettings.xml"/><Relationship Id="rId7" Type="http://schemas.openxmlformats.org/officeDocument/2006/relationships/hyperlink" Target="mailto:aivis.hammers@fm.gov.lv" TargetMode="Externa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ate.Gusarova@tm.gov.lv" TargetMode="External"/><Relationship Id="rId11" Type="http://schemas.openxmlformats.org/officeDocument/2006/relationships/hyperlink" Target="mailto:egita.skibele@fm.gov.lv"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Baiba.Lielkalne@TM.GOV.LV" TargetMode="External"/><Relationship Id="rId4" Type="http://schemas.openxmlformats.org/officeDocument/2006/relationships/footnotes" Target="footnotes.xml"/><Relationship Id="rId9" Type="http://schemas.openxmlformats.org/officeDocument/2006/relationships/hyperlink" Target="mailto:Pasts@f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3175</Words>
  <Characters>1810</Characters>
  <Application>Microsoft Office Word</Application>
  <DocSecurity>0</DocSecurity>
  <Lines>15</Lines>
  <Paragraphs>9</Paragraphs>
  <ScaleCrop>false</ScaleCrop>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2</cp:revision>
  <dcterms:created xsi:type="dcterms:W3CDTF">2021-05-12T07:23:00Z</dcterms:created>
  <dcterms:modified xsi:type="dcterms:W3CDTF">2021-08-15T19:25:00Z</dcterms:modified>
</cp:coreProperties>
</file>